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9B5" w:rsidRPr="006E1D65" w:rsidRDefault="00952086" w:rsidP="006A4D16">
      <w:pPr>
        <w:rPr>
          <w:rFonts w:ascii="Broadway" w:hAnsi="Broadway"/>
          <w:b/>
          <w:sz w:val="44"/>
          <w:szCs w:val="44"/>
          <w:highlight w:val="darkYellow"/>
        </w:rPr>
      </w:pPr>
      <w:r w:rsidRPr="004702CD">
        <w:rPr>
          <w:noProof/>
          <w:color w:val="4F6228" w:themeColor="accent3" w:themeShade="80"/>
        </w:rPr>
        <mc:AlternateContent>
          <mc:Choice Requires="wps">
            <w:drawing>
              <wp:anchor distT="0" distB="0" distL="114300" distR="114300" simplePos="0" relativeHeight="251656704" behindDoc="0" locked="0" layoutInCell="1" allowOverlap="1" wp14:anchorId="7F94AD12" wp14:editId="05C09A95">
                <wp:simplePos x="0" y="0"/>
                <wp:positionH relativeFrom="column">
                  <wp:posOffset>4686300</wp:posOffset>
                </wp:positionH>
                <wp:positionV relativeFrom="paragraph">
                  <wp:posOffset>114300</wp:posOffset>
                </wp:positionV>
                <wp:extent cx="2057400" cy="1028700"/>
                <wp:effectExtent l="0" t="0" r="2540" b="254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83" w:rsidRDefault="00A36383" w:rsidP="00975BBA">
                            <w:pPr>
                              <w:jc w:val="right"/>
                              <w:rPr>
                                <w:rFonts w:ascii="Verdana" w:hAnsi="Verdana"/>
                                <w:sz w:val="12"/>
                                <w:szCs w:val="12"/>
                              </w:rPr>
                            </w:pPr>
                            <w:r>
                              <w:rPr>
                                <w:rFonts w:ascii="Verdana" w:hAnsi="Verdana"/>
                                <w:sz w:val="12"/>
                                <w:szCs w:val="12"/>
                              </w:rPr>
                              <w:t>Berliner Allee 37 d</w:t>
                            </w:r>
                          </w:p>
                          <w:p w:rsidR="00A36383" w:rsidRDefault="00A36383" w:rsidP="00975BBA">
                            <w:pPr>
                              <w:jc w:val="right"/>
                              <w:rPr>
                                <w:rFonts w:ascii="Verdana" w:hAnsi="Verdana"/>
                                <w:sz w:val="12"/>
                                <w:szCs w:val="12"/>
                              </w:rPr>
                            </w:pPr>
                            <w:r>
                              <w:rPr>
                                <w:rFonts w:ascii="Verdana" w:hAnsi="Verdana"/>
                                <w:sz w:val="12"/>
                                <w:szCs w:val="12"/>
                              </w:rPr>
                              <w:t>(Brunnenpassage)</w:t>
                            </w:r>
                          </w:p>
                          <w:p w:rsidR="00A36383" w:rsidRDefault="00A36383" w:rsidP="00975BBA">
                            <w:pPr>
                              <w:jc w:val="right"/>
                              <w:rPr>
                                <w:rFonts w:ascii="Verdana" w:hAnsi="Verdana"/>
                                <w:sz w:val="12"/>
                                <w:szCs w:val="12"/>
                              </w:rPr>
                            </w:pPr>
                            <w:r>
                              <w:rPr>
                                <w:rFonts w:ascii="Verdana" w:hAnsi="Verdana"/>
                                <w:sz w:val="12"/>
                                <w:szCs w:val="12"/>
                              </w:rPr>
                              <w:t>15345 Altlandsberg</w:t>
                            </w:r>
                          </w:p>
                          <w:p w:rsidR="00A36383" w:rsidRPr="009B5B3D" w:rsidRDefault="00A36383" w:rsidP="00975BBA">
                            <w:pPr>
                              <w:jc w:val="right"/>
                              <w:rPr>
                                <w:rFonts w:ascii="Verdana" w:hAnsi="Verdana"/>
                                <w:sz w:val="12"/>
                                <w:szCs w:val="12"/>
                              </w:rPr>
                            </w:pPr>
                            <w:r>
                              <w:rPr>
                                <w:rFonts w:ascii="Verdana" w:hAnsi="Verdana"/>
                                <w:sz w:val="12"/>
                                <w:szCs w:val="12"/>
                              </w:rPr>
                              <w:t>Telefon: 033438  66048</w:t>
                            </w:r>
                          </w:p>
                          <w:p w:rsidR="00A36383" w:rsidRPr="009B5B3D" w:rsidRDefault="00A36383" w:rsidP="00975BBA">
                            <w:pPr>
                              <w:jc w:val="right"/>
                              <w:rPr>
                                <w:rFonts w:ascii="Verdana" w:hAnsi="Verdana"/>
                                <w:sz w:val="12"/>
                                <w:szCs w:val="12"/>
                              </w:rPr>
                            </w:pPr>
                            <w:r>
                              <w:rPr>
                                <w:rFonts w:ascii="Verdana" w:hAnsi="Verdana"/>
                                <w:sz w:val="12"/>
                                <w:szCs w:val="12"/>
                              </w:rPr>
                              <w:t>Fax: 033438  66227</w:t>
                            </w:r>
                          </w:p>
                          <w:p w:rsidR="00A36383" w:rsidRPr="009B5B3D" w:rsidRDefault="00A36383" w:rsidP="00975BBA">
                            <w:pPr>
                              <w:jc w:val="right"/>
                              <w:rPr>
                                <w:rFonts w:ascii="Verdana" w:hAnsi="Verdana"/>
                                <w:sz w:val="12"/>
                                <w:szCs w:val="12"/>
                              </w:rPr>
                            </w:pPr>
                            <w:r>
                              <w:rPr>
                                <w:rFonts w:ascii="Verdana" w:hAnsi="Verdana"/>
                                <w:sz w:val="12"/>
                                <w:szCs w:val="12"/>
                              </w:rPr>
                              <w:t xml:space="preserve">Funk-Tel.: 0172 </w:t>
                            </w:r>
                            <w:r w:rsidRPr="009B5B3D">
                              <w:rPr>
                                <w:rFonts w:ascii="Verdana" w:hAnsi="Verdana"/>
                                <w:sz w:val="12"/>
                                <w:szCs w:val="12"/>
                              </w:rPr>
                              <w:t xml:space="preserve"> 3642323</w:t>
                            </w:r>
                          </w:p>
                          <w:p w:rsidR="00A36383" w:rsidRPr="000A7047" w:rsidRDefault="00A36383" w:rsidP="00975BBA">
                            <w:pPr>
                              <w:jc w:val="right"/>
                              <w:rPr>
                                <w:rFonts w:ascii="Verdana" w:hAnsi="Verdana"/>
                                <w:sz w:val="12"/>
                                <w:szCs w:val="12"/>
                              </w:rPr>
                            </w:pPr>
                            <w:r>
                              <w:rPr>
                                <w:rFonts w:ascii="Verdana" w:hAnsi="Verdana"/>
                                <w:sz w:val="12"/>
                                <w:szCs w:val="12"/>
                              </w:rPr>
                              <w:t>E</w:t>
                            </w:r>
                            <w:r w:rsidRPr="009B5B3D">
                              <w:rPr>
                                <w:rFonts w:ascii="Verdana" w:hAnsi="Verdana"/>
                                <w:sz w:val="12"/>
                                <w:szCs w:val="12"/>
                              </w:rPr>
                              <w:t xml:space="preserve">-Mail: </w:t>
                            </w:r>
                            <w:hyperlink r:id="rId9" w:history="1">
                              <w:r w:rsidRPr="000A7047">
                                <w:rPr>
                                  <w:rStyle w:val="Hyperlink"/>
                                  <w:rFonts w:ascii="Verdana" w:hAnsi="Verdana"/>
                                  <w:color w:val="auto"/>
                                  <w:sz w:val="12"/>
                                  <w:szCs w:val="12"/>
                                  <w:u w:val="none"/>
                                </w:rPr>
                                <w:t>info@agro-service-</w:t>
                              </w:r>
                              <w:r>
                                <w:rPr>
                                  <w:rStyle w:val="Hyperlink"/>
                                  <w:rFonts w:ascii="Verdana" w:hAnsi="Verdana"/>
                                  <w:color w:val="auto"/>
                                  <w:sz w:val="12"/>
                                  <w:szCs w:val="12"/>
                                  <w:u w:val="none"/>
                                </w:rPr>
                                <w:t>verband</w:t>
                              </w:r>
                              <w:r w:rsidRPr="000A7047">
                                <w:rPr>
                                  <w:rStyle w:val="Hyperlink"/>
                                  <w:rFonts w:ascii="Verdana" w:hAnsi="Verdana"/>
                                  <w:color w:val="auto"/>
                                  <w:sz w:val="12"/>
                                  <w:szCs w:val="12"/>
                                  <w:u w:val="none"/>
                                </w:rPr>
                                <w:t>.de</w:t>
                              </w:r>
                            </w:hyperlink>
                          </w:p>
                          <w:p w:rsidR="00A36383" w:rsidRDefault="00A36383" w:rsidP="00975BBA">
                            <w:pPr>
                              <w:jc w:val="right"/>
                              <w:rPr>
                                <w:rFonts w:ascii="Verdana" w:hAnsi="Verdana"/>
                                <w:sz w:val="12"/>
                                <w:szCs w:val="12"/>
                              </w:rPr>
                            </w:pPr>
                            <w:r w:rsidRPr="009B5B3D">
                              <w:rPr>
                                <w:rFonts w:ascii="Verdana" w:hAnsi="Verdana"/>
                                <w:sz w:val="12"/>
                                <w:szCs w:val="12"/>
                              </w:rPr>
                              <w:t>Internet: www.agro-service-</w:t>
                            </w:r>
                            <w:r>
                              <w:rPr>
                                <w:rFonts w:ascii="Verdana" w:hAnsi="Verdana"/>
                                <w:sz w:val="12"/>
                                <w:szCs w:val="12"/>
                              </w:rPr>
                              <w:t>verband</w:t>
                            </w:r>
                            <w:r w:rsidRPr="009B5B3D">
                              <w:rPr>
                                <w:rFonts w:ascii="Verdana" w:hAnsi="Verdana"/>
                                <w:sz w:val="12"/>
                                <w:szCs w:val="12"/>
                              </w:rPr>
                              <w:t>.de</w:t>
                            </w:r>
                          </w:p>
                          <w:p w:rsidR="00A36383" w:rsidRPr="000D37FE" w:rsidRDefault="00A36383" w:rsidP="000A7047">
                            <w:pPr>
                              <w:jc w:val="right"/>
                              <w:rPr>
                                <w:rFonts w:ascii="Verdana" w:hAnsi="Verdana"/>
                                <w:sz w:val="12"/>
                                <w:szCs w:val="12"/>
                              </w:rPr>
                            </w:pPr>
                            <w:r>
                              <w:rPr>
                                <w:rFonts w:ascii="Verdana" w:hAnsi="Verdana"/>
                                <w:sz w:val="12"/>
                                <w:szCs w:val="12"/>
                              </w:rPr>
                              <w:t>Steuernummer: 064/140/10731</w:t>
                            </w:r>
                          </w:p>
                          <w:p w:rsidR="00A36383" w:rsidRPr="00975BBA" w:rsidRDefault="00A36383" w:rsidP="00975BBA">
                            <w:pPr>
                              <w:jc w:val="right"/>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69pt;margin-top:9pt;width:162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ulggIAABE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" stroked="f">
                <v:textbox>
                  <w:txbxContent>
                    <w:p w:rsidR="00A36383" w:rsidRDefault="00A36383" w:rsidP="00975BBA">
                      <w:pPr>
                        <w:jc w:val="right"/>
                        <w:rPr>
                          <w:rFonts w:ascii="Verdana" w:hAnsi="Verdana"/>
                          <w:sz w:val="12"/>
                          <w:szCs w:val="12"/>
                        </w:rPr>
                      </w:pPr>
                      <w:r>
                        <w:rPr>
                          <w:rFonts w:ascii="Verdana" w:hAnsi="Verdana"/>
                          <w:sz w:val="12"/>
                          <w:szCs w:val="12"/>
                        </w:rPr>
                        <w:t>Berliner Allee 37 d</w:t>
                      </w:r>
                    </w:p>
                    <w:p w:rsidR="00A36383" w:rsidRDefault="00A36383" w:rsidP="00975BBA">
                      <w:pPr>
                        <w:jc w:val="right"/>
                        <w:rPr>
                          <w:rFonts w:ascii="Verdana" w:hAnsi="Verdana"/>
                          <w:sz w:val="12"/>
                          <w:szCs w:val="12"/>
                        </w:rPr>
                      </w:pPr>
                      <w:r>
                        <w:rPr>
                          <w:rFonts w:ascii="Verdana" w:hAnsi="Verdana"/>
                          <w:sz w:val="12"/>
                          <w:szCs w:val="12"/>
                        </w:rPr>
                        <w:t>(Brunnenpassage)</w:t>
                      </w:r>
                    </w:p>
                    <w:p w:rsidR="00A36383" w:rsidRDefault="00A36383" w:rsidP="00975BBA">
                      <w:pPr>
                        <w:jc w:val="right"/>
                        <w:rPr>
                          <w:rFonts w:ascii="Verdana" w:hAnsi="Verdana"/>
                          <w:sz w:val="12"/>
                          <w:szCs w:val="12"/>
                        </w:rPr>
                      </w:pPr>
                      <w:r>
                        <w:rPr>
                          <w:rFonts w:ascii="Verdana" w:hAnsi="Verdana"/>
                          <w:sz w:val="12"/>
                          <w:szCs w:val="12"/>
                        </w:rPr>
                        <w:t>15345 Altlandsberg</w:t>
                      </w:r>
                    </w:p>
                    <w:p w:rsidR="00A36383" w:rsidRPr="009B5B3D" w:rsidRDefault="00A36383" w:rsidP="00975BBA">
                      <w:pPr>
                        <w:jc w:val="right"/>
                        <w:rPr>
                          <w:rFonts w:ascii="Verdana" w:hAnsi="Verdana"/>
                          <w:sz w:val="12"/>
                          <w:szCs w:val="12"/>
                        </w:rPr>
                      </w:pPr>
                      <w:r>
                        <w:rPr>
                          <w:rFonts w:ascii="Verdana" w:hAnsi="Verdana"/>
                          <w:sz w:val="12"/>
                          <w:szCs w:val="12"/>
                        </w:rPr>
                        <w:t>Telefon: 033438  66048</w:t>
                      </w:r>
                    </w:p>
                    <w:p w:rsidR="00A36383" w:rsidRPr="009B5B3D" w:rsidRDefault="00A36383" w:rsidP="00975BBA">
                      <w:pPr>
                        <w:jc w:val="right"/>
                        <w:rPr>
                          <w:rFonts w:ascii="Verdana" w:hAnsi="Verdana"/>
                          <w:sz w:val="12"/>
                          <w:szCs w:val="12"/>
                        </w:rPr>
                      </w:pPr>
                      <w:r>
                        <w:rPr>
                          <w:rFonts w:ascii="Verdana" w:hAnsi="Verdana"/>
                          <w:sz w:val="12"/>
                          <w:szCs w:val="12"/>
                        </w:rPr>
                        <w:t>Fax: 033438  66227</w:t>
                      </w:r>
                    </w:p>
                    <w:p w:rsidR="00A36383" w:rsidRPr="009B5B3D" w:rsidRDefault="00A36383" w:rsidP="00975BBA">
                      <w:pPr>
                        <w:jc w:val="right"/>
                        <w:rPr>
                          <w:rFonts w:ascii="Verdana" w:hAnsi="Verdana"/>
                          <w:sz w:val="12"/>
                          <w:szCs w:val="12"/>
                        </w:rPr>
                      </w:pPr>
                      <w:r>
                        <w:rPr>
                          <w:rFonts w:ascii="Verdana" w:hAnsi="Verdana"/>
                          <w:sz w:val="12"/>
                          <w:szCs w:val="12"/>
                        </w:rPr>
                        <w:t xml:space="preserve">Funk-Tel.: 0172 </w:t>
                      </w:r>
                      <w:r w:rsidRPr="009B5B3D">
                        <w:rPr>
                          <w:rFonts w:ascii="Verdana" w:hAnsi="Verdana"/>
                          <w:sz w:val="12"/>
                          <w:szCs w:val="12"/>
                        </w:rPr>
                        <w:t xml:space="preserve"> 3642323</w:t>
                      </w:r>
                    </w:p>
                    <w:p w:rsidR="00A36383" w:rsidRPr="000A7047" w:rsidRDefault="00A36383" w:rsidP="00975BBA">
                      <w:pPr>
                        <w:jc w:val="right"/>
                        <w:rPr>
                          <w:rFonts w:ascii="Verdana" w:hAnsi="Verdana"/>
                          <w:sz w:val="12"/>
                          <w:szCs w:val="12"/>
                        </w:rPr>
                      </w:pPr>
                      <w:r>
                        <w:rPr>
                          <w:rFonts w:ascii="Verdana" w:hAnsi="Verdana"/>
                          <w:sz w:val="12"/>
                          <w:szCs w:val="12"/>
                        </w:rPr>
                        <w:t>E</w:t>
                      </w:r>
                      <w:r w:rsidRPr="009B5B3D">
                        <w:rPr>
                          <w:rFonts w:ascii="Verdana" w:hAnsi="Verdana"/>
                          <w:sz w:val="12"/>
                          <w:szCs w:val="12"/>
                        </w:rPr>
                        <w:t xml:space="preserve">-Mail: </w:t>
                      </w:r>
                      <w:hyperlink r:id="rId10" w:history="1">
                        <w:r w:rsidRPr="000A7047">
                          <w:rPr>
                            <w:rStyle w:val="Hyperlink"/>
                            <w:rFonts w:ascii="Verdana" w:hAnsi="Verdana"/>
                            <w:color w:val="auto"/>
                            <w:sz w:val="12"/>
                            <w:szCs w:val="12"/>
                            <w:u w:val="none"/>
                          </w:rPr>
                          <w:t>info@agro-service-</w:t>
                        </w:r>
                        <w:r>
                          <w:rPr>
                            <w:rStyle w:val="Hyperlink"/>
                            <w:rFonts w:ascii="Verdana" w:hAnsi="Verdana"/>
                            <w:color w:val="auto"/>
                            <w:sz w:val="12"/>
                            <w:szCs w:val="12"/>
                            <w:u w:val="none"/>
                          </w:rPr>
                          <w:t>verband</w:t>
                        </w:r>
                        <w:r w:rsidRPr="000A7047">
                          <w:rPr>
                            <w:rStyle w:val="Hyperlink"/>
                            <w:rFonts w:ascii="Verdana" w:hAnsi="Verdana"/>
                            <w:color w:val="auto"/>
                            <w:sz w:val="12"/>
                            <w:szCs w:val="12"/>
                            <w:u w:val="none"/>
                          </w:rPr>
                          <w:t>.de</w:t>
                        </w:r>
                      </w:hyperlink>
                    </w:p>
                    <w:p w:rsidR="00A36383" w:rsidRDefault="00A36383" w:rsidP="00975BBA">
                      <w:pPr>
                        <w:jc w:val="right"/>
                        <w:rPr>
                          <w:rFonts w:ascii="Verdana" w:hAnsi="Verdana"/>
                          <w:sz w:val="12"/>
                          <w:szCs w:val="12"/>
                        </w:rPr>
                      </w:pPr>
                      <w:r w:rsidRPr="009B5B3D">
                        <w:rPr>
                          <w:rFonts w:ascii="Verdana" w:hAnsi="Verdana"/>
                          <w:sz w:val="12"/>
                          <w:szCs w:val="12"/>
                        </w:rPr>
                        <w:t>Internet: www.agro-service-</w:t>
                      </w:r>
                      <w:r>
                        <w:rPr>
                          <w:rFonts w:ascii="Verdana" w:hAnsi="Verdana"/>
                          <w:sz w:val="12"/>
                          <w:szCs w:val="12"/>
                        </w:rPr>
                        <w:t>verband</w:t>
                      </w:r>
                      <w:r w:rsidRPr="009B5B3D">
                        <w:rPr>
                          <w:rFonts w:ascii="Verdana" w:hAnsi="Verdana"/>
                          <w:sz w:val="12"/>
                          <w:szCs w:val="12"/>
                        </w:rPr>
                        <w:t>.de</w:t>
                      </w:r>
                    </w:p>
                    <w:p w:rsidR="00A36383" w:rsidRPr="000D37FE" w:rsidRDefault="00A36383" w:rsidP="000A7047">
                      <w:pPr>
                        <w:jc w:val="right"/>
                        <w:rPr>
                          <w:rFonts w:ascii="Verdana" w:hAnsi="Verdana"/>
                          <w:sz w:val="12"/>
                          <w:szCs w:val="12"/>
                        </w:rPr>
                      </w:pPr>
                      <w:r>
                        <w:rPr>
                          <w:rFonts w:ascii="Verdana" w:hAnsi="Verdana"/>
                          <w:sz w:val="12"/>
                          <w:szCs w:val="12"/>
                        </w:rPr>
                        <w:t>Steuernummer: 064/140/10731</w:t>
                      </w:r>
                    </w:p>
                    <w:p w:rsidR="00A36383" w:rsidRPr="00975BBA" w:rsidRDefault="00A36383" w:rsidP="00975BBA">
                      <w:pPr>
                        <w:jc w:val="right"/>
                        <w:rPr>
                          <w:rFonts w:ascii="Verdana" w:hAnsi="Verdana"/>
                          <w:sz w:val="16"/>
                          <w:szCs w:val="16"/>
                        </w:rPr>
                      </w:pPr>
                    </w:p>
                  </w:txbxContent>
                </v:textbox>
              </v:shape>
            </w:pict>
          </mc:Fallback>
        </mc:AlternateContent>
      </w:r>
      <w:r w:rsidR="00D729B5" w:rsidRPr="004702CD">
        <w:rPr>
          <w:rFonts w:ascii="Broadway" w:hAnsi="Broadway"/>
          <w:b/>
          <w:color w:val="4F6228" w:themeColor="accent3" w:themeShade="80"/>
          <w:sz w:val="44"/>
          <w:szCs w:val="44"/>
        </w:rPr>
        <w:t>Agro</w:t>
      </w:r>
      <w:r w:rsidR="002E381D" w:rsidRPr="004702CD">
        <w:rPr>
          <w:rFonts w:ascii="Broadway" w:hAnsi="Broadway"/>
          <w:b/>
          <w:color w:val="4F6228" w:themeColor="accent3" w:themeShade="80"/>
          <w:sz w:val="44"/>
          <w:szCs w:val="44"/>
        </w:rPr>
        <w:t>service &amp;</w:t>
      </w:r>
    </w:p>
    <w:p w:rsidR="002E381D" w:rsidRDefault="002E381D" w:rsidP="006A4D16">
      <w:pPr>
        <w:rPr>
          <w:rFonts w:ascii="Broadway" w:hAnsi="Broadway"/>
          <w:b/>
          <w:sz w:val="44"/>
          <w:szCs w:val="44"/>
          <w:highlight w:val="darkYellow"/>
        </w:rPr>
      </w:pPr>
      <w:r w:rsidRPr="004702CD">
        <w:rPr>
          <w:rFonts w:ascii="Broadway" w:hAnsi="Broadway"/>
          <w:b/>
          <w:color w:val="4F6228" w:themeColor="accent3" w:themeShade="80"/>
          <w:sz w:val="44"/>
          <w:szCs w:val="44"/>
        </w:rPr>
        <w:t>Lohnunternehmerverband</w:t>
      </w:r>
    </w:p>
    <w:p w:rsidR="00D729B5" w:rsidRPr="004702CD" w:rsidRDefault="00676300" w:rsidP="006A4D16">
      <w:pPr>
        <w:rPr>
          <w:rFonts w:ascii="Broadway" w:hAnsi="Broadway"/>
          <w:b/>
          <w:color w:val="4F6228" w:themeColor="accent3" w:themeShade="80"/>
          <w:sz w:val="44"/>
          <w:szCs w:val="44"/>
        </w:rPr>
      </w:pPr>
      <w:r w:rsidRPr="004702CD">
        <w:rPr>
          <w:rFonts w:ascii="Broadway" w:hAnsi="Broadway"/>
          <w:b/>
          <w:color w:val="4F6228" w:themeColor="accent3" w:themeShade="80"/>
          <w:sz w:val="44"/>
          <w:szCs w:val="44"/>
        </w:rPr>
        <w:t xml:space="preserve">Nordost </w:t>
      </w:r>
      <w:r w:rsidR="00D729B5" w:rsidRPr="004702CD">
        <w:rPr>
          <w:rFonts w:ascii="Broadway" w:hAnsi="Broadway"/>
          <w:b/>
          <w:color w:val="4F6228" w:themeColor="accent3" w:themeShade="80"/>
          <w:sz w:val="44"/>
          <w:szCs w:val="44"/>
        </w:rPr>
        <w:t>e. V.</w:t>
      </w:r>
    </w:p>
    <w:p w:rsidR="00D729B5" w:rsidRDefault="00D729B5" w:rsidP="006A4D16"/>
    <w:p w:rsidR="00FD0718" w:rsidRDefault="00FD0718" w:rsidP="006A4D16"/>
    <w:p w:rsidR="008D05B7" w:rsidRDefault="008D05B7" w:rsidP="006A4D16">
      <w:pPr>
        <w:jc w:val="right"/>
        <w:rPr>
          <w:rFonts w:ascii="Century Gothic" w:hAnsi="Century Gothic"/>
          <w:snapToGrid w:val="0"/>
          <w:sz w:val="18"/>
          <w:szCs w:val="18"/>
        </w:rPr>
      </w:pPr>
    </w:p>
    <w:p w:rsidR="008D05B7" w:rsidRDefault="008D05B7" w:rsidP="006A4D16">
      <w:pPr>
        <w:jc w:val="right"/>
        <w:rPr>
          <w:rFonts w:ascii="Century Gothic" w:hAnsi="Century Gothic"/>
          <w:snapToGrid w:val="0"/>
          <w:sz w:val="18"/>
          <w:szCs w:val="18"/>
        </w:rPr>
      </w:pPr>
    </w:p>
    <w:p w:rsidR="007B1EE8" w:rsidRDefault="00F9454B" w:rsidP="00E41C35">
      <w:pPr>
        <w:ind w:left="4956" w:firstLine="708"/>
        <w:jc w:val="right"/>
        <w:rPr>
          <w:rFonts w:ascii="Century Gothic" w:hAnsi="Century Gothic"/>
          <w:snapToGrid w:val="0"/>
          <w:sz w:val="18"/>
          <w:szCs w:val="18"/>
        </w:rPr>
      </w:pPr>
      <w:r>
        <w:rPr>
          <w:rFonts w:ascii="Century Gothic" w:hAnsi="Century Gothic"/>
          <w:snapToGrid w:val="0"/>
          <w:sz w:val="18"/>
          <w:szCs w:val="18"/>
        </w:rPr>
        <w:t>Altlandsberg</w:t>
      </w:r>
      <w:r w:rsidR="00890156">
        <w:rPr>
          <w:rFonts w:ascii="Century Gothic" w:hAnsi="Century Gothic"/>
          <w:snapToGrid w:val="0"/>
          <w:sz w:val="18"/>
          <w:szCs w:val="18"/>
        </w:rPr>
        <w:t xml:space="preserve">, </w:t>
      </w:r>
      <w:r w:rsidR="00BA2AB1">
        <w:rPr>
          <w:rFonts w:ascii="Century Gothic" w:hAnsi="Century Gothic"/>
          <w:snapToGrid w:val="0"/>
          <w:sz w:val="18"/>
          <w:szCs w:val="18"/>
        </w:rPr>
        <w:t>1. Februar 2016</w:t>
      </w:r>
    </w:p>
    <w:p w:rsidR="00FD015C" w:rsidRDefault="00952086" w:rsidP="006A4D16">
      <w:pPr>
        <w:jc w:val="right"/>
        <w:rPr>
          <w:rFonts w:ascii="Century Gothic" w:hAnsi="Century Gothic"/>
          <w:snapToGrid w:val="0"/>
          <w:sz w:val="18"/>
          <w:szCs w:val="18"/>
        </w:rPr>
      </w:pPr>
      <w:r>
        <w:rPr>
          <w:rFonts w:ascii="Arial" w:hAnsi="Arial"/>
          <w:noProof/>
          <w:sz w:val="36"/>
          <w:szCs w:val="20"/>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-5715</wp:posOffset>
                </wp:positionV>
                <wp:extent cx="3086100" cy="457200"/>
                <wp:effectExtent l="0" t="0" r="2540" b="254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83" w:rsidRPr="001344F4" w:rsidRDefault="00A36383">
                            <w:pPr>
                              <w:rPr>
                                <w:rFonts w:ascii="Verdana" w:hAnsi="Verdana"/>
                                <w:b/>
                                <w:i/>
                                <w:sz w:val="18"/>
                                <w:szCs w:val="18"/>
                              </w:rPr>
                            </w:pPr>
                            <w:r w:rsidRPr="001344F4">
                              <w:rPr>
                                <w:rFonts w:ascii="Verdana" w:hAnsi="Verdana"/>
                                <w:b/>
                                <w:i/>
                                <w:sz w:val="18"/>
                                <w:szCs w:val="18"/>
                              </w:rPr>
                              <w:t>An die Geschäftsführungen</w:t>
                            </w:r>
                          </w:p>
                          <w:p w:rsidR="00A36383" w:rsidRPr="001344F4" w:rsidRDefault="00A36383">
                            <w:pPr>
                              <w:rPr>
                                <w:rFonts w:ascii="Verdana" w:hAnsi="Verdana"/>
                                <w:b/>
                                <w:i/>
                                <w:sz w:val="18"/>
                                <w:szCs w:val="18"/>
                              </w:rPr>
                            </w:pPr>
                            <w:r w:rsidRPr="001344F4">
                              <w:rPr>
                                <w:rFonts w:ascii="Verdana" w:hAnsi="Verdana"/>
                                <w:b/>
                                <w:i/>
                                <w:sz w:val="18"/>
                                <w:szCs w:val="18"/>
                              </w:rPr>
                              <w:t>der Mitgliedsunternehmen!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0;margin-top:-.45pt;width:243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" stroked="f">
                <v:textbox>
                  <w:txbxContent>
                    <w:p w:rsidR="00A36383" w:rsidRPr="001344F4" w:rsidRDefault="00A36383">
                      <w:pPr>
                        <w:rPr>
                          <w:rFonts w:ascii="Verdana" w:hAnsi="Verdana"/>
                          <w:b/>
                          <w:i/>
                          <w:sz w:val="18"/>
                          <w:szCs w:val="18"/>
                        </w:rPr>
                      </w:pPr>
                      <w:r w:rsidRPr="001344F4">
                        <w:rPr>
                          <w:rFonts w:ascii="Verdana" w:hAnsi="Verdana"/>
                          <w:b/>
                          <w:i/>
                          <w:sz w:val="18"/>
                          <w:szCs w:val="18"/>
                        </w:rPr>
                        <w:t>An die Geschäftsführungen</w:t>
                      </w:r>
                    </w:p>
                    <w:p w:rsidR="00A36383" w:rsidRPr="001344F4" w:rsidRDefault="00A36383">
                      <w:pPr>
                        <w:rPr>
                          <w:rFonts w:ascii="Verdana" w:hAnsi="Verdana"/>
                          <w:b/>
                          <w:i/>
                          <w:sz w:val="18"/>
                          <w:szCs w:val="18"/>
                        </w:rPr>
                      </w:pPr>
                      <w:r w:rsidRPr="001344F4">
                        <w:rPr>
                          <w:rFonts w:ascii="Verdana" w:hAnsi="Verdana"/>
                          <w:b/>
                          <w:i/>
                          <w:sz w:val="18"/>
                          <w:szCs w:val="18"/>
                        </w:rPr>
                        <w:t>der Mitgliedsunternehmen!</w:t>
                      </w:r>
                    </w:p>
                  </w:txbxContent>
                </v:textbox>
              </v:shape>
            </w:pict>
          </mc:Fallback>
        </mc:AlternateContent>
      </w:r>
    </w:p>
    <w:p w:rsidR="00FD015C" w:rsidRDefault="00FD015C" w:rsidP="006A4D16">
      <w:pPr>
        <w:jc w:val="right"/>
        <w:rPr>
          <w:rFonts w:ascii="Century Gothic" w:hAnsi="Century Gothic"/>
          <w:snapToGrid w:val="0"/>
          <w:sz w:val="18"/>
          <w:szCs w:val="18"/>
        </w:rPr>
      </w:pPr>
    </w:p>
    <w:p w:rsidR="00FD015C" w:rsidRDefault="00FD015C" w:rsidP="006A4D16">
      <w:pPr>
        <w:jc w:val="right"/>
        <w:rPr>
          <w:rFonts w:ascii="Century Gothic" w:hAnsi="Century Gothic"/>
          <w:snapToGrid w:val="0"/>
          <w:sz w:val="18"/>
          <w:szCs w:val="18"/>
        </w:rPr>
      </w:pPr>
    </w:p>
    <w:p w:rsidR="00FD015C" w:rsidRDefault="00FD015C" w:rsidP="006A4D16">
      <w:pPr>
        <w:jc w:val="right"/>
        <w:rPr>
          <w:rFonts w:ascii="Century Gothic" w:hAnsi="Century Gothic"/>
          <w:snapToGrid w:val="0"/>
          <w:sz w:val="18"/>
          <w:szCs w:val="18"/>
        </w:rPr>
      </w:pPr>
    </w:p>
    <w:p w:rsidR="00FD015C" w:rsidRDefault="00FD015C" w:rsidP="006A4D16">
      <w:pPr>
        <w:jc w:val="right"/>
        <w:rPr>
          <w:rFonts w:ascii="Century Gothic" w:hAnsi="Century Gothic"/>
          <w:snapToGrid w:val="0"/>
          <w:sz w:val="18"/>
          <w:szCs w:val="18"/>
        </w:rPr>
      </w:pPr>
    </w:p>
    <w:p w:rsidR="009F0BBF" w:rsidRDefault="009F0BBF" w:rsidP="006A4D16">
      <w:pPr>
        <w:rPr>
          <w:rFonts w:ascii="Century Gothic" w:hAnsi="Century Gothic"/>
          <w:snapToGrid w:val="0"/>
          <w:sz w:val="18"/>
          <w:szCs w:val="18"/>
        </w:rPr>
      </w:pPr>
    </w:p>
    <w:p w:rsidR="009F0BBF" w:rsidRPr="009B5B3D" w:rsidRDefault="009F0BBF" w:rsidP="006A4D16">
      <w:pPr>
        <w:jc w:val="right"/>
        <w:rPr>
          <w:rFonts w:ascii="Century Gothic" w:hAnsi="Century Gothic"/>
          <w:snapToGrid w:val="0"/>
          <w:sz w:val="18"/>
          <w:szCs w:val="18"/>
        </w:rPr>
      </w:pPr>
    </w:p>
    <w:p w:rsidR="009361CA" w:rsidRPr="003F07A1" w:rsidRDefault="009361CA" w:rsidP="009361CA">
      <w:pPr>
        <w:rPr>
          <w:rFonts w:ascii="Broadway" w:hAnsi="Broadway"/>
          <w:b/>
          <w:sz w:val="44"/>
          <w:szCs w:val="44"/>
          <w:highlight w:val="darkYellow"/>
        </w:rPr>
      </w:pPr>
      <w:r w:rsidRPr="003F07A1">
        <w:rPr>
          <w:rFonts w:ascii="Broadway" w:hAnsi="Broadway"/>
          <w:b/>
          <w:sz w:val="44"/>
          <w:szCs w:val="44"/>
          <w:highlight w:val="darkYellow"/>
        </w:rPr>
        <w:t>Mitglieder</w:t>
      </w:r>
      <w:r w:rsidR="007F7169">
        <w:rPr>
          <w:rFonts w:ascii="Broadway" w:hAnsi="Broadway"/>
          <w:b/>
          <w:sz w:val="44"/>
          <w:szCs w:val="44"/>
          <w:highlight w:val="darkYellow"/>
        </w:rPr>
        <w:t>-I</w:t>
      </w:r>
      <w:r w:rsidRPr="003F07A1">
        <w:rPr>
          <w:rFonts w:ascii="Broadway" w:hAnsi="Broadway"/>
          <w:b/>
          <w:sz w:val="44"/>
          <w:szCs w:val="44"/>
          <w:highlight w:val="darkYellow"/>
        </w:rPr>
        <w:t xml:space="preserve">nfo </w:t>
      </w:r>
      <w:r w:rsidR="007F7169">
        <w:rPr>
          <w:rFonts w:ascii="Broadway" w:hAnsi="Broadway"/>
          <w:b/>
          <w:sz w:val="44"/>
          <w:szCs w:val="44"/>
          <w:highlight w:val="darkYellow"/>
        </w:rPr>
        <w:t>01/</w:t>
      </w:r>
      <w:r w:rsidR="00BA2AB1">
        <w:rPr>
          <w:rFonts w:ascii="Broadway" w:hAnsi="Broadway"/>
          <w:b/>
          <w:sz w:val="44"/>
          <w:szCs w:val="44"/>
          <w:highlight w:val="darkYellow"/>
        </w:rPr>
        <w:t>2016</w:t>
      </w:r>
    </w:p>
    <w:p w:rsidR="00A32572" w:rsidRDefault="00A32572" w:rsidP="006A4D16">
      <w:pPr>
        <w:rPr>
          <w:rFonts w:ascii="Arial" w:hAnsi="Arial"/>
          <w:snapToGrid w:val="0"/>
          <w:sz w:val="36"/>
          <w:szCs w:val="20"/>
        </w:rPr>
      </w:pPr>
    </w:p>
    <w:p w:rsidR="00EF6B79" w:rsidRDefault="00EF6B79" w:rsidP="006A4D16">
      <w:pPr>
        <w:ind w:right="227"/>
        <w:jc w:val="both"/>
        <w:rPr>
          <w:rFonts w:ascii="Century Gothic" w:hAnsi="Century Gothic"/>
          <w:sz w:val="20"/>
          <w:szCs w:val="20"/>
        </w:rPr>
      </w:pPr>
    </w:p>
    <w:p w:rsidR="00EF6B79" w:rsidRDefault="00EF6B79" w:rsidP="006A4D16">
      <w:pPr>
        <w:ind w:right="227"/>
        <w:jc w:val="both"/>
        <w:rPr>
          <w:rFonts w:ascii="Century Gothic" w:hAnsi="Century Gothic"/>
          <w:sz w:val="20"/>
          <w:szCs w:val="20"/>
        </w:rPr>
        <w:sectPr w:rsidR="00EF6B79" w:rsidSect="0002451E">
          <w:headerReference w:type="even" r:id="rId11"/>
          <w:headerReference w:type="default" r:id="rId12"/>
          <w:footerReference w:type="default" r:id="rId13"/>
          <w:pgSz w:w="11906" w:h="16838" w:code="9"/>
          <w:pgMar w:top="851" w:right="746" w:bottom="851" w:left="851" w:header="709" w:footer="709" w:gutter="0"/>
          <w:cols w:space="708"/>
          <w:titlePg/>
          <w:docGrid w:linePitch="360"/>
        </w:sectPr>
      </w:pPr>
    </w:p>
    <w:p w:rsidR="006C3A49" w:rsidRPr="009B5B3D" w:rsidRDefault="003078F4" w:rsidP="006A4D16">
      <w:pPr>
        <w:ind w:right="227"/>
        <w:jc w:val="both"/>
        <w:rPr>
          <w:rFonts w:ascii="Century Gothic" w:hAnsi="Century Gothic"/>
          <w:sz w:val="18"/>
          <w:szCs w:val="18"/>
        </w:rPr>
      </w:pPr>
      <w:r>
        <w:rPr>
          <w:rFonts w:ascii="Century Gothic" w:hAnsi="Century Gothic"/>
          <w:sz w:val="18"/>
          <w:szCs w:val="18"/>
        </w:rPr>
        <w:lastRenderedPageBreak/>
        <w:t>Sehr geehrte Verbandsmitglieder</w:t>
      </w:r>
      <w:r w:rsidR="00207114" w:rsidRPr="009B5B3D">
        <w:rPr>
          <w:rFonts w:ascii="Century Gothic" w:hAnsi="Century Gothic"/>
          <w:sz w:val="18"/>
          <w:szCs w:val="18"/>
        </w:rPr>
        <w:t>,</w:t>
      </w:r>
    </w:p>
    <w:p w:rsidR="00207114" w:rsidRPr="009B5B3D" w:rsidRDefault="00207114" w:rsidP="006A4D16">
      <w:pPr>
        <w:widowControl w:val="0"/>
        <w:ind w:right="227"/>
        <w:jc w:val="both"/>
        <w:rPr>
          <w:rFonts w:ascii="Century Gothic" w:hAnsi="Century Gothic"/>
          <w:sz w:val="18"/>
          <w:szCs w:val="18"/>
        </w:rPr>
      </w:pPr>
    </w:p>
    <w:p w:rsidR="00740486" w:rsidRDefault="0027738A" w:rsidP="000C3FEE">
      <w:pPr>
        <w:tabs>
          <w:tab w:val="left" w:pos="4820"/>
        </w:tabs>
        <w:ind w:right="89"/>
        <w:jc w:val="both"/>
        <w:rPr>
          <w:rFonts w:ascii="Century Gothic" w:hAnsi="Century Gothic"/>
          <w:sz w:val="18"/>
          <w:szCs w:val="18"/>
        </w:rPr>
      </w:pPr>
      <w:r>
        <w:rPr>
          <w:rFonts w:ascii="Century Gothic" w:hAnsi="Century Gothic"/>
          <w:sz w:val="18"/>
          <w:szCs w:val="18"/>
        </w:rPr>
        <w:t>nur noch wenige Stunden trennen uns von unserem umfangreichen, verbandlich</w:t>
      </w:r>
      <w:r w:rsidR="00820073">
        <w:rPr>
          <w:rFonts w:ascii="Century Gothic" w:hAnsi="Century Gothic"/>
          <w:sz w:val="18"/>
          <w:szCs w:val="18"/>
        </w:rPr>
        <w:t>en Veranstaltungskomplex am 4. u</w:t>
      </w:r>
      <w:r>
        <w:rPr>
          <w:rFonts w:ascii="Century Gothic" w:hAnsi="Century Gothic"/>
          <w:sz w:val="18"/>
          <w:szCs w:val="18"/>
        </w:rPr>
        <w:t>nd 5. Februar 2016 in Brehna.</w:t>
      </w:r>
    </w:p>
    <w:p w:rsidR="0027738A" w:rsidRDefault="0027738A" w:rsidP="000C3FEE">
      <w:pPr>
        <w:tabs>
          <w:tab w:val="left" w:pos="4820"/>
        </w:tabs>
        <w:ind w:right="89"/>
        <w:jc w:val="both"/>
        <w:rPr>
          <w:rFonts w:ascii="Century Gothic" w:hAnsi="Century Gothic"/>
          <w:sz w:val="18"/>
          <w:szCs w:val="18"/>
        </w:rPr>
      </w:pPr>
      <w:r>
        <w:rPr>
          <w:rFonts w:ascii="Century Gothic" w:hAnsi="Century Gothic"/>
          <w:sz w:val="18"/>
          <w:szCs w:val="18"/>
        </w:rPr>
        <w:t>Die mit der Verbandszusammenführung zusammenhängenden umfangreichen Vorarbeiten sind nunmehr fast vollständig abgeschlossen.</w:t>
      </w:r>
    </w:p>
    <w:p w:rsidR="0027738A" w:rsidRDefault="0027738A" w:rsidP="000C3FEE">
      <w:pPr>
        <w:tabs>
          <w:tab w:val="left" w:pos="4820"/>
        </w:tabs>
        <w:ind w:right="89"/>
        <w:jc w:val="both"/>
        <w:rPr>
          <w:rFonts w:ascii="Century Gothic" w:hAnsi="Century Gothic"/>
          <w:sz w:val="18"/>
          <w:szCs w:val="18"/>
        </w:rPr>
      </w:pPr>
      <w:r>
        <w:rPr>
          <w:rFonts w:ascii="Century Gothic" w:hAnsi="Century Gothic"/>
          <w:sz w:val="18"/>
          <w:szCs w:val="18"/>
        </w:rPr>
        <w:t>Seitens unseres Nordost-Verbandes liegen Teilnahmebestätigungen von 27 Firmen und 13 Fördermitgliedern vor.</w:t>
      </w:r>
    </w:p>
    <w:p w:rsidR="0027738A" w:rsidRDefault="0027738A" w:rsidP="000C3FEE">
      <w:pPr>
        <w:tabs>
          <w:tab w:val="left" w:pos="4820"/>
        </w:tabs>
        <w:ind w:right="89"/>
        <w:jc w:val="both"/>
        <w:rPr>
          <w:rFonts w:ascii="Century Gothic" w:hAnsi="Century Gothic"/>
          <w:sz w:val="18"/>
          <w:szCs w:val="18"/>
        </w:rPr>
      </w:pPr>
      <w:r>
        <w:rPr>
          <w:rFonts w:ascii="Century Gothic" w:hAnsi="Century Gothic"/>
          <w:sz w:val="18"/>
          <w:szCs w:val="18"/>
        </w:rPr>
        <w:t>Ein ähnlich guter Stand ist bei den Unternehmen des Verbandes Sachsen/Thüringen und der dort angesiedelten Fördermitglieder zu verzeichnen.</w:t>
      </w:r>
    </w:p>
    <w:p w:rsidR="0027738A" w:rsidRDefault="0027738A" w:rsidP="000C3FEE">
      <w:pPr>
        <w:tabs>
          <w:tab w:val="left" w:pos="4820"/>
        </w:tabs>
        <w:ind w:right="89"/>
        <w:jc w:val="both"/>
        <w:rPr>
          <w:rFonts w:ascii="Century Gothic" w:hAnsi="Century Gothic"/>
          <w:sz w:val="18"/>
          <w:szCs w:val="18"/>
        </w:rPr>
      </w:pPr>
      <w:r>
        <w:rPr>
          <w:rFonts w:ascii="Century Gothic" w:hAnsi="Century Gothic"/>
          <w:sz w:val="18"/>
          <w:szCs w:val="18"/>
        </w:rPr>
        <w:t>An der Posterausstellung der Fördermitglieder werden sich 21 Firmen beteiligen. In 18 Vorträgen werden diese im Rahmen von zwei parallel laufenden Workshops Neuigkeiten vorstellen.</w:t>
      </w:r>
    </w:p>
    <w:p w:rsidR="0027738A" w:rsidRDefault="0027738A" w:rsidP="000C3FEE">
      <w:pPr>
        <w:tabs>
          <w:tab w:val="left" w:pos="4820"/>
        </w:tabs>
        <w:ind w:right="89"/>
        <w:jc w:val="both"/>
        <w:rPr>
          <w:rFonts w:ascii="Century Gothic" w:hAnsi="Century Gothic"/>
          <w:sz w:val="18"/>
          <w:szCs w:val="18"/>
        </w:rPr>
      </w:pPr>
      <w:r>
        <w:rPr>
          <w:rFonts w:ascii="Century Gothic" w:hAnsi="Century Gothic"/>
          <w:sz w:val="18"/>
          <w:szCs w:val="18"/>
        </w:rPr>
        <w:t>Wir wünschen allen Teilnehmern eine gute Anreise nach Brehna!</w:t>
      </w:r>
    </w:p>
    <w:p w:rsidR="0027738A" w:rsidRDefault="0027738A" w:rsidP="000C3FEE">
      <w:pPr>
        <w:tabs>
          <w:tab w:val="left" w:pos="4820"/>
        </w:tabs>
        <w:ind w:right="89"/>
        <w:jc w:val="both"/>
        <w:rPr>
          <w:rFonts w:ascii="Century Gothic" w:hAnsi="Century Gothic"/>
          <w:sz w:val="18"/>
          <w:szCs w:val="18"/>
        </w:rPr>
      </w:pPr>
    </w:p>
    <w:p w:rsidR="0027738A" w:rsidRDefault="00820073" w:rsidP="000C3FEE">
      <w:pPr>
        <w:tabs>
          <w:tab w:val="left" w:pos="4820"/>
        </w:tabs>
        <w:ind w:right="89"/>
        <w:jc w:val="both"/>
        <w:rPr>
          <w:rFonts w:ascii="Century Gothic" w:hAnsi="Century Gothic"/>
          <w:sz w:val="18"/>
          <w:szCs w:val="18"/>
        </w:rPr>
      </w:pPr>
      <w:r>
        <w:rPr>
          <w:rFonts w:ascii="Century Gothic" w:hAnsi="Century Gothic"/>
          <w:sz w:val="18"/>
          <w:szCs w:val="18"/>
        </w:rPr>
        <w:t>Im Weiteren möchten wir S</w:t>
      </w:r>
      <w:r w:rsidR="0027738A">
        <w:rPr>
          <w:rFonts w:ascii="Century Gothic" w:hAnsi="Century Gothic"/>
          <w:sz w:val="18"/>
          <w:szCs w:val="18"/>
        </w:rPr>
        <w:t>ie mit ausgewählten aktuellen Informationen vertraut machen.</w:t>
      </w:r>
    </w:p>
    <w:p w:rsidR="00462256" w:rsidRPr="006D684B" w:rsidRDefault="00462256" w:rsidP="009361CA">
      <w:pPr>
        <w:ind w:right="227"/>
        <w:jc w:val="both"/>
        <w:rPr>
          <w:rFonts w:ascii="Century Gothic" w:hAnsi="Century Gothic" w:cs="Arial"/>
          <w:sz w:val="18"/>
          <w:szCs w:val="18"/>
        </w:rPr>
      </w:pPr>
    </w:p>
    <w:p w:rsidR="00E0216C" w:rsidRPr="00290821" w:rsidRDefault="00E0216C" w:rsidP="006A4D16">
      <w:pPr>
        <w:ind w:right="227"/>
        <w:jc w:val="both"/>
        <w:rPr>
          <w:rFonts w:ascii="Century Gothic" w:hAnsi="Century Gothic" w:cs="Arial"/>
          <w:sz w:val="18"/>
          <w:szCs w:val="18"/>
        </w:rPr>
      </w:pPr>
    </w:p>
    <w:p w:rsidR="00453CDD" w:rsidRPr="00C33AAF" w:rsidRDefault="008E5B4D" w:rsidP="00C64784">
      <w:pPr>
        <w:ind w:right="120"/>
        <w:jc w:val="both"/>
        <w:rPr>
          <w:rFonts w:ascii="Verdana" w:hAnsi="Verdana" w:cs="Arial"/>
          <w:b/>
          <w:sz w:val="22"/>
          <w:szCs w:val="22"/>
          <w:u w:val="single"/>
        </w:rPr>
      </w:pPr>
      <w:r w:rsidRPr="00820073">
        <w:rPr>
          <w:rFonts w:ascii="Verdana" w:hAnsi="Verdana" w:cs="Arial"/>
          <w:b/>
          <w:sz w:val="22"/>
          <w:szCs w:val="22"/>
          <w:highlight w:val="darkYellow"/>
          <w:u w:val="single"/>
        </w:rPr>
        <w:t>1</w:t>
      </w:r>
      <w:r w:rsidR="00453CDD" w:rsidRPr="00820073">
        <w:rPr>
          <w:rFonts w:ascii="Verdana" w:hAnsi="Verdana" w:cs="Arial"/>
          <w:b/>
          <w:sz w:val="22"/>
          <w:szCs w:val="22"/>
          <w:highlight w:val="darkYellow"/>
          <w:u w:val="single"/>
        </w:rPr>
        <w:t xml:space="preserve">. </w:t>
      </w:r>
      <w:r w:rsidR="0027738A" w:rsidRPr="00820073">
        <w:rPr>
          <w:rFonts w:ascii="Verdana" w:hAnsi="Verdana" w:cs="Arial"/>
          <w:b/>
          <w:sz w:val="22"/>
          <w:szCs w:val="22"/>
          <w:highlight w:val="darkYellow"/>
          <w:u w:val="single"/>
        </w:rPr>
        <w:t>Agrarpolitik/Agrarwirtschaft</w:t>
      </w:r>
    </w:p>
    <w:p w:rsidR="00B35D81" w:rsidRPr="00820073" w:rsidRDefault="008E5B4D" w:rsidP="00C43C05">
      <w:pPr>
        <w:ind w:right="72"/>
        <w:jc w:val="both"/>
        <w:rPr>
          <w:rFonts w:ascii="Verdana" w:hAnsi="Verdana" w:cs="Arial"/>
          <w:b/>
          <w:sz w:val="18"/>
          <w:szCs w:val="18"/>
          <w:highlight w:val="lightGray"/>
          <w:u w:val="single"/>
        </w:rPr>
      </w:pPr>
      <w:r w:rsidRPr="00820073">
        <w:rPr>
          <w:rFonts w:ascii="Verdana" w:hAnsi="Verdana" w:cs="Arial"/>
          <w:b/>
          <w:sz w:val="18"/>
          <w:szCs w:val="18"/>
          <w:highlight w:val="lightGray"/>
          <w:u w:val="single"/>
        </w:rPr>
        <w:t>1</w:t>
      </w:r>
      <w:r w:rsidR="001209BA" w:rsidRPr="00820073">
        <w:rPr>
          <w:rFonts w:ascii="Verdana" w:hAnsi="Verdana" w:cs="Arial"/>
          <w:b/>
          <w:sz w:val="18"/>
          <w:szCs w:val="18"/>
          <w:highlight w:val="lightGray"/>
          <w:u w:val="single"/>
        </w:rPr>
        <w:t>.1</w:t>
      </w:r>
      <w:r w:rsidR="00CB61E9" w:rsidRPr="00820073">
        <w:rPr>
          <w:rFonts w:ascii="Verdana" w:hAnsi="Verdana" w:cs="Arial"/>
          <w:b/>
          <w:sz w:val="18"/>
          <w:szCs w:val="18"/>
          <w:highlight w:val="lightGray"/>
          <w:u w:val="single"/>
        </w:rPr>
        <w:t xml:space="preserve">. </w:t>
      </w:r>
      <w:r w:rsidR="0027738A" w:rsidRPr="00820073">
        <w:rPr>
          <w:rFonts w:ascii="Verdana" w:hAnsi="Verdana" w:cs="Arial"/>
          <w:b/>
          <w:sz w:val="18"/>
          <w:szCs w:val="18"/>
          <w:highlight w:val="lightGray"/>
          <w:u w:val="single"/>
        </w:rPr>
        <w:t>Internationale Grüne Woche:</w:t>
      </w:r>
    </w:p>
    <w:p w:rsidR="0027738A" w:rsidRDefault="0027738A" w:rsidP="00C43C05">
      <w:pPr>
        <w:ind w:right="72"/>
        <w:jc w:val="both"/>
        <w:rPr>
          <w:rFonts w:ascii="Verdana" w:hAnsi="Verdana" w:cs="Arial"/>
          <w:b/>
          <w:sz w:val="18"/>
          <w:szCs w:val="18"/>
          <w:u w:val="single"/>
        </w:rPr>
      </w:pPr>
      <w:r w:rsidRPr="00820073">
        <w:rPr>
          <w:rFonts w:ascii="Verdana" w:hAnsi="Verdana" w:cs="Arial"/>
          <w:b/>
          <w:sz w:val="18"/>
          <w:szCs w:val="18"/>
          <w:highlight w:val="lightGray"/>
          <w:u w:val="single"/>
        </w:rPr>
        <w:t>Schmidt betont Bedeutung des Exports</w:t>
      </w:r>
    </w:p>
    <w:p w:rsidR="0027738A" w:rsidRPr="00820073" w:rsidRDefault="0027738A" w:rsidP="00820073">
      <w:pPr>
        <w:pStyle w:val="Default"/>
        <w:jc w:val="both"/>
        <w:rPr>
          <w:rFonts w:ascii="Century Gothic" w:hAnsi="Century Gothic"/>
          <w:sz w:val="18"/>
          <w:szCs w:val="18"/>
        </w:rPr>
      </w:pPr>
      <w:r w:rsidRPr="00820073">
        <w:rPr>
          <w:rFonts w:ascii="Century Gothic" w:hAnsi="Century Gothic"/>
          <w:sz w:val="18"/>
          <w:szCs w:val="18"/>
        </w:rPr>
        <w:t xml:space="preserve">Im Rahmen der Internationalen Grünen Woche (IGW) in Berlin erklärte Bundeslandwirtschaftsminister Christian Schmidt, dass er sich verstärkt für die Exportförderung einsetzten wird. </w:t>
      </w:r>
    </w:p>
    <w:p w:rsidR="0027738A" w:rsidRPr="00820073" w:rsidRDefault="0027738A" w:rsidP="00820073">
      <w:pPr>
        <w:pStyle w:val="Default"/>
        <w:jc w:val="both"/>
        <w:rPr>
          <w:rFonts w:ascii="Century Gothic" w:hAnsi="Century Gothic"/>
          <w:sz w:val="18"/>
          <w:szCs w:val="18"/>
        </w:rPr>
      </w:pPr>
      <w:r w:rsidRPr="00820073">
        <w:rPr>
          <w:rFonts w:ascii="Century Gothic" w:hAnsi="Century Gothic"/>
          <w:sz w:val="18"/>
          <w:szCs w:val="18"/>
        </w:rPr>
        <w:t>Dafür stockt er u.a. das Personal im Bundeslandwirt-</w:t>
      </w:r>
      <w:proofErr w:type="spellStart"/>
      <w:r w:rsidRPr="00820073">
        <w:rPr>
          <w:rFonts w:ascii="Century Gothic" w:hAnsi="Century Gothic"/>
          <w:sz w:val="18"/>
          <w:szCs w:val="18"/>
        </w:rPr>
        <w:t>schaftsministerium</w:t>
      </w:r>
      <w:proofErr w:type="spellEnd"/>
      <w:r w:rsidRPr="00820073">
        <w:rPr>
          <w:rFonts w:ascii="Century Gothic" w:hAnsi="Century Gothic"/>
          <w:sz w:val="18"/>
          <w:szCs w:val="18"/>
        </w:rPr>
        <w:t xml:space="preserve"> (BMEL) auf. So gibt es eine neue Stabsstelle für den Agrarexport in seinem Ministerium. Danach wird es künftig zwei Chefveterinäre im BMEL geben. Der eine wird sich nur auf den Export in den EU-Binnenmarkt kümmern. Die neu geschaffene Stelle hingegen soll sich ausschließlich mit dem Export in Drittstaaten außerhalb der EU beschäftigen. Damit kommt er dem Drängen der Agrarwirtschaft nach mehr Unterstützung für den Agrarexport nach. „Das ist eine Antwort auf den Exportgipfel“, sagte Schmidt. Den </w:t>
      </w:r>
      <w:r w:rsidRPr="00820073">
        <w:rPr>
          <w:rFonts w:ascii="Century Gothic" w:hAnsi="Century Gothic"/>
          <w:sz w:val="18"/>
          <w:szCs w:val="18"/>
        </w:rPr>
        <w:lastRenderedPageBreak/>
        <w:t xml:space="preserve">Gipfel hatte Schmidt im November 2015 zusammengerufen. Er ist Teil seiner Gespräche mit der gesamten Lebensmittelkette, die er in Folge der Krise auf den Agrarmärkten anberaumt hatte. </w:t>
      </w:r>
    </w:p>
    <w:p w:rsidR="00063BF6" w:rsidRPr="00820073" w:rsidRDefault="0027738A" w:rsidP="00820073">
      <w:pPr>
        <w:pStyle w:val="Default"/>
        <w:ind w:right="51"/>
        <w:jc w:val="both"/>
        <w:rPr>
          <w:rFonts w:ascii="Century Gothic" w:hAnsi="Century Gothic"/>
          <w:sz w:val="18"/>
          <w:szCs w:val="18"/>
        </w:rPr>
      </w:pPr>
      <w:r w:rsidRPr="00820073">
        <w:rPr>
          <w:rFonts w:ascii="Century Gothic" w:hAnsi="Century Gothic"/>
          <w:sz w:val="18"/>
          <w:szCs w:val="18"/>
        </w:rPr>
        <w:t>Der Präsident des Deutschen Bauernverbandes (DBV), Joachim Rukwied, erklärte, dass er dabei bleibe, dass vor allem der Einbruch bei den Agrarexporten Mitv</w:t>
      </w:r>
      <w:r w:rsidR="00820073">
        <w:rPr>
          <w:rFonts w:ascii="Century Gothic" w:hAnsi="Century Gothic"/>
          <w:sz w:val="18"/>
          <w:szCs w:val="18"/>
        </w:rPr>
        <w:t>erursacher der Krise auf den Ag</w:t>
      </w:r>
      <w:r w:rsidRPr="00820073">
        <w:rPr>
          <w:rFonts w:ascii="Century Gothic" w:hAnsi="Century Gothic"/>
          <w:sz w:val="18"/>
          <w:szCs w:val="18"/>
        </w:rPr>
        <w:t>rarmärkten sei. „Hauptgrund ist das Russland-Embargo“, sagte Rukwied. Die Agrarwirtschaft ist aus seiner Sicht essentiell auf den Export angewiesen. „Ohne unsere Exportmöglichkeiten würde die wirtschaftliche Situation der Landwirte noch schlechter ausfallen“, prophezeite Rukwied auf der IGW.</w:t>
      </w:r>
    </w:p>
    <w:p w:rsidR="00206D21" w:rsidRPr="00063BF6" w:rsidRDefault="00206D21" w:rsidP="00063BF6">
      <w:pPr>
        <w:pStyle w:val="Default"/>
        <w:ind w:right="51"/>
        <w:jc w:val="both"/>
        <w:rPr>
          <w:rFonts w:ascii="Century Gothic" w:hAnsi="Century Gothic"/>
          <w:sz w:val="18"/>
          <w:szCs w:val="18"/>
        </w:rPr>
      </w:pPr>
    </w:p>
    <w:p w:rsidR="008D6912" w:rsidRDefault="00993435" w:rsidP="00AB40C0">
      <w:pPr>
        <w:pStyle w:val="Default"/>
        <w:jc w:val="both"/>
        <w:rPr>
          <w:rFonts w:ascii="Verdana" w:hAnsi="Verdana"/>
          <w:b/>
          <w:sz w:val="18"/>
          <w:szCs w:val="18"/>
          <w:u w:val="single"/>
        </w:rPr>
      </w:pPr>
      <w:r w:rsidRPr="00820073">
        <w:rPr>
          <w:rFonts w:ascii="Verdana" w:hAnsi="Verdana"/>
          <w:b/>
          <w:sz w:val="18"/>
          <w:szCs w:val="18"/>
          <w:highlight w:val="lightGray"/>
          <w:u w:val="single"/>
        </w:rPr>
        <w:t xml:space="preserve">1.2. </w:t>
      </w:r>
      <w:r w:rsidR="0027738A" w:rsidRPr="00820073">
        <w:rPr>
          <w:rFonts w:ascii="Verdana" w:hAnsi="Verdana"/>
          <w:b/>
          <w:sz w:val="18"/>
          <w:szCs w:val="18"/>
          <w:highlight w:val="lightGray"/>
          <w:u w:val="single"/>
        </w:rPr>
        <w:t>GEFA: Deutsche Exporte behaupten sich trotz schwieriger Wirtschaftslage</w:t>
      </w:r>
    </w:p>
    <w:p w:rsidR="0027738A" w:rsidRPr="00820073" w:rsidRDefault="0027738A" w:rsidP="00820073">
      <w:pPr>
        <w:pStyle w:val="Default"/>
        <w:jc w:val="both"/>
        <w:rPr>
          <w:rFonts w:ascii="Century Gothic" w:hAnsi="Century Gothic"/>
          <w:sz w:val="18"/>
          <w:szCs w:val="18"/>
        </w:rPr>
      </w:pPr>
      <w:r w:rsidRPr="00820073">
        <w:rPr>
          <w:rFonts w:ascii="Century Gothic" w:hAnsi="Century Gothic"/>
          <w:sz w:val="18"/>
          <w:szCs w:val="18"/>
        </w:rPr>
        <w:t>„Das stark gesunkene Exportgeschäft in die Eurasische Wirtschaftsunion und in die Ukraine hat die deutschen Exporteure dazu veranlasst, ihre Anstrengungen zur Erschließung neuer Märkte weiter zu verstärken. So konnten die Ausfuhren ins Drittland in den ersten zehn Monaten 2015 im Wert um 6,9% (13,6 Mrd. Euro) und in der Menge um 18 % (14,1 Mio. t) gesteigert werden“, er-läutert Dr. Franz-Georg von Busse, Sprecher der German Exp</w:t>
      </w:r>
      <w:r w:rsidR="00820073">
        <w:rPr>
          <w:rFonts w:ascii="Century Gothic" w:hAnsi="Century Gothic"/>
          <w:sz w:val="18"/>
          <w:szCs w:val="18"/>
        </w:rPr>
        <w:t xml:space="preserve">ort </w:t>
      </w:r>
      <w:proofErr w:type="spellStart"/>
      <w:r w:rsidR="00820073">
        <w:rPr>
          <w:rFonts w:ascii="Century Gothic" w:hAnsi="Century Gothic"/>
          <w:sz w:val="18"/>
          <w:szCs w:val="18"/>
        </w:rPr>
        <w:t>Association</w:t>
      </w:r>
      <w:proofErr w:type="spellEnd"/>
      <w:r w:rsidR="00820073">
        <w:rPr>
          <w:rFonts w:ascii="Century Gothic" w:hAnsi="Century Gothic"/>
          <w:sz w:val="18"/>
          <w:szCs w:val="18"/>
        </w:rPr>
        <w:t xml:space="preserve"> </w:t>
      </w:r>
      <w:proofErr w:type="spellStart"/>
      <w:r w:rsidR="00820073">
        <w:rPr>
          <w:rFonts w:ascii="Century Gothic" w:hAnsi="Century Gothic"/>
          <w:sz w:val="18"/>
          <w:szCs w:val="18"/>
        </w:rPr>
        <w:t>for</w:t>
      </w:r>
      <w:proofErr w:type="spellEnd"/>
      <w:r w:rsidR="00820073">
        <w:rPr>
          <w:rFonts w:ascii="Century Gothic" w:hAnsi="Century Gothic"/>
          <w:sz w:val="18"/>
          <w:szCs w:val="18"/>
        </w:rPr>
        <w:t xml:space="preserve"> Food </w:t>
      </w:r>
      <w:proofErr w:type="spellStart"/>
      <w:r w:rsidR="00820073">
        <w:rPr>
          <w:rFonts w:ascii="Century Gothic" w:hAnsi="Century Gothic"/>
          <w:sz w:val="18"/>
          <w:szCs w:val="18"/>
        </w:rPr>
        <w:t>and</w:t>
      </w:r>
      <w:proofErr w:type="spellEnd"/>
      <w:r w:rsidR="00820073">
        <w:rPr>
          <w:rFonts w:ascii="Century Gothic" w:hAnsi="Century Gothic"/>
          <w:sz w:val="18"/>
          <w:szCs w:val="18"/>
        </w:rPr>
        <w:t xml:space="preserve"> </w:t>
      </w:r>
      <w:proofErr w:type="spellStart"/>
      <w:r w:rsidR="00820073">
        <w:rPr>
          <w:rFonts w:ascii="Century Gothic" w:hAnsi="Century Gothic"/>
          <w:sz w:val="18"/>
          <w:szCs w:val="18"/>
        </w:rPr>
        <w:t>Ag</w:t>
      </w:r>
      <w:r w:rsidRPr="00820073">
        <w:rPr>
          <w:rFonts w:ascii="Century Gothic" w:hAnsi="Century Gothic"/>
          <w:sz w:val="18"/>
          <w:szCs w:val="18"/>
        </w:rPr>
        <w:t>riproducts</w:t>
      </w:r>
      <w:proofErr w:type="spellEnd"/>
      <w:r w:rsidRPr="00820073">
        <w:rPr>
          <w:rFonts w:ascii="Century Gothic" w:hAnsi="Century Gothic"/>
          <w:sz w:val="18"/>
          <w:szCs w:val="18"/>
        </w:rPr>
        <w:t xml:space="preserve"> e.V. (GEFA). </w:t>
      </w:r>
    </w:p>
    <w:p w:rsidR="0027738A" w:rsidRPr="00820073" w:rsidRDefault="0027738A" w:rsidP="00820073">
      <w:pPr>
        <w:pStyle w:val="Default"/>
        <w:jc w:val="both"/>
        <w:rPr>
          <w:rFonts w:ascii="Century Gothic" w:hAnsi="Century Gothic"/>
          <w:sz w:val="18"/>
          <w:szCs w:val="18"/>
        </w:rPr>
      </w:pPr>
      <w:r w:rsidRPr="00820073">
        <w:rPr>
          <w:rFonts w:ascii="Century Gothic" w:hAnsi="Century Gothic"/>
          <w:sz w:val="18"/>
          <w:szCs w:val="18"/>
        </w:rPr>
        <w:t xml:space="preserve">Deutschland konnte damit seinen dritten Rang unter den Top 10 der Exportnationen hinter den USA und den Niederlanden verteidigen. Insbesondere in Richtung Osteuropa habe es einen dramatischen Rückgang gegeben; allein nach Russland seien die Lieferungen an Agrarprodukten und Lebensmitteln in den ersten zehn Monaten 2015 um mehr als 28 % gesunken. Russland sei damit vom ersten auf den fünften Rang der deutschen Drittlandsexportmärkte gefallen. </w:t>
      </w:r>
    </w:p>
    <w:p w:rsidR="0027738A" w:rsidRPr="00820073" w:rsidRDefault="0027738A" w:rsidP="00820073">
      <w:pPr>
        <w:pStyle w:val="Default"/>
        <w:jc w:val="both"/>
        <w:rPr>
          <w:rFonts w:ascii="Century Gothic" w:hAnsi="Century Gothic"/>
          <w:sz w:val="18"/>
          <w:szCs w:val="18"/>
        </w:rPr>
      </w:pPr>
      <w:r w:rsidRPr="00820073">
        <w:rPr>
          <w:rFonts w:ascii="Century Gothic" w:hAnsi="Century Gothic"/>
          <w:sz w:val="18"/>
          <w:szCs w:val="18"/>
        </w:rPr>
        <w:t>Der Exportwert der deutschen Agrar- und Ernährungswirtschaft im abgelaufenen Jahr wird nach aktueller Prognose der GEFA inklusive Landtechnik mit 72,5 Mrd. Euro gegenüber 2014 praktisch unverändert bleiben (+0,5%). Die gesamte Agrar- und Ernährun</w:t>
      </w:r>
      <w:r w:rsidR="00820073">
        <w:rPr>
          <w:rFonts w:ascii="Century Gothic" w:hAnsi="Century Gothic"/>
          <w:sz w:val="18"/>
          <w:szCs w:val="18"/>
        </w:rPr>
        <w:t>gsbranche sieht sich dabei aktu</w:t>
      </w:r>
      <w:r w:rsidRPr="00820073">
        <w:rPr>
          <w:rFonts w:ascii="Century Gothic" w:hAnsi="Century Gothic"/>
          <w:sz w:val="18"/>
          <w:szCs w:val="18"/>
        </w:rPr>
        <w:t xml:space="preserve">ell von einem </w:t>
      </w:r>
      <w:r w:rsidRPr="00820073">
        <w:rPr>
          <w:rFonts w:ascii="Century Gothic" w:hAnsi="Century Gothic"/>
          <w:sz w:val="18"/>
          <w:szCs w:val="18"/>
        </w:rPr>
        <w:lastRenderedPageBreak/>
        <w:t xml:space="preserve">schwierigen Wettbewerbsumfeld in Europa und auf den internationalen Märkten konfrontiert. </w:t>
      </w:r>
    </w:p>
    <w:p w:rsidR="0027738A" w:rsidRPr="00820073" w:rsidRDefault="0027738A" w:rsidP="00820073">
      <w:pPr>
        <w:pStyle w:val="Default"/>
        <w:jc w:val="both"/>
        <w:rPr>
          <w:rFonts w:ascii="Century Gothic" w:hAnsi="Century Gothic"/>
          <w:sz w:val="18"/>
          <w:szCs w:val="18"/>
        </w:rPr>
      </w:pPr>
      <w:r w:rsidRPr="00820073">
        <w:rPr>
          <w:rFonts w:ascii="Century Gothic" w:hAnsi="Century Gothic"/>
          <w:sz w:val="18"/>
          <w:szCs w:val="18"/>
        </w:rPr>
        <w:t>Positive Auswirkungen haben der schwache Euro und stark ge</w:t>
      </w:r>
      <w:r w:rsidR="00820073">
        <w:rPr>
          <w:rFonts w:ascii="Century Gothic" w:hAnsi="Century Gothic"/>
          <w:sz w:val="18"/>
          <w:szCs w:val="18"/>
        </w:rPr>
        <w:t>stiegene Ausfuhren einzelner Gü</w:t>
      </w:r>
      <w:r w:rsidRPr="00820073">
        <w:rPr>
          <w:rFonts w:ascii="Century Gothic" w:hAnsi="Century Gothic"/>
          <w:sz w:val="18"/>
          <w:szCs w:val="18"/>
        </w:rPr>
        <w:t xml:space="preserve">ter, u.a. von Gerste (+242,9%), vor allem nach Asien. </w:t>
      </w:r>
    </w:p>
    <w:p w:rsidR="00FF1BDA" w:rsidRPr="00820073" w:rsidRDefault="0027738A" w:rsidP="00820073">
      <w:pPr>
        <w:pStyle w:val="Default"/>
        <w:jc w:val="both"/>
        <w:rPr>
          <w:rFonts w:ascii="Century Gothic" w:hAnsi="Century Gothic" w:cs="Century Gothic"/>
          <w:snapToGrid w:val="0"/>
          <w:sz w:val="18"/>
          <w:szCs w:val="18"/>
        </w:rPr>
      </w:pPr>
      <w:r w:rsidRPr="00820073">
        <w:rPr>
          <w:rFonts w:ascii="Century Gothic" w:hAnsi="Century Gothic"/>
          <w:sz w:val="18"/>
          <w:szCs w:val="18"/>
        </w:rPr>
        <w:t>Betrachtet man die Eurasische Wirtschaftsunion, so sind die d</w:t>
      </w:r>
      <w:r w:rsidR="00820073">
        <w:rPr>
          <w:rFonts w:ascii="Century Gothic" w:hAnsi="Century Gothic"/>
          <w:sz w:val="18"/>
          <w:szCs w:val="18"/>
        </w:rPr>
        <w:t>eutschen Ausfuhren in diese Län</w:t>
      </w:r>
      <w:r w:rsidRPr="00820073">
        <w:rPr>
          <w:rFonts w:ascii="Century Gothic" w:hAnsi="Century Gothic"/>
          <w:sz w:val="18"/>
          <w:szCs w:val="18"/>
        </w:rPr>
        <w:t>der im Zeitraum Januar bis Oktober seit dem Höchstwert in 2</w:t>
      </w:r>
      <w:r w:rsidR="00820073">
        <w:rPr>
          <w:rFonts w:ascii="Century Gothic" w:hAnsi="Century Gothic"/>
          <w:sz w:val="18"/>
          <w:szCs w:val="18"/>
        </w:rPr>
        <w:t>012 um fast 900 Mio. Euro gesun</w:t>
      </w:r>
      <w:r w:rsidRPr="00820073">
        <w:rPr>
          <w:rFonts w:ascii="Century Gothic" w:hAnsi="Century Gothic"/>
          <w:sz w:val="18"/>
          <w:szCs w:val="18"/>
        </w:rPr>
        <w:t>ken. Sie haben sich damit mehr als halbiert. Dazu kommen nochmals 190 Mio. Euro Rückgang in die Ukraine, so dass allein in diesem Zehn-Monats-Zeitraum die Rückgänge inkl. der Ukraine fast 1,1 Mrd. Euro betragen.</w:t>
      </w:r>
    </w:p>
    <w:p w:rsidR="00CD28D2" w:rsidRDefault="00CD28D2" w:rsidP="00EA554C">
      <w:pPr>
        <w:pStyle w:val="Default"/>
        <w:jc w:val="both"/>
        <w:rPr>
          <w:rFonts w:ascii="Century Gothic" w:hAnsi="Century Gothic"/>
          <w:sz w:val="18"/>
          <w:szCs w:val="18"/>
        </w:rPr>
      </w:pPr>
    </w:p>
    <w:p w:rsidR="00CD28D2" w:rsidRPr="00820073" w:rsidRDefault="00CD28D2" w:rsidP="00CD28D2">
      <w:pPr>
        <w:pStyle w:val="Default"/>
        <w:jc w:val="both"/>
        <w:rPr>
          <w:rFonts w:ascii="Verdana" w:hAnsi="Verdana"/>
          <w:b/>
          <w:sz w:val="18"/>
          <w:szCs w:val="18"/>
          <w:highlight w:val="lightGray"/>
          <w:u w:val="single"/>
        </w:rPr>
      </w:pPr>
      <w:r w:rsidRPr="00820073">
        <w:rPr>
          <w:rFonts w:ascii="Verdana" w:hAnsi="Verdana"/>
          <w:b/>
          <w:sz w:val="18"/>
          <w:szCs w:val="18"/>
          <w:highlight w:val="lightGray"/>
          <w:u w:val="single"/>
        </w:rPr>
        <w:t xml:space="preserve">1.3. </w:t>
      </w:r>
      <w:r w:rsidR="0027738A" w:rsidRPr="00820073">
        <w:rPr>
          <w:rFonts w:ascii="Verdana" w:hAnsi="Verdana"/>
          <w:b/>
          <w:sz w:val="18"/>
          <w:szCs w:val="18"/>
          <w:highlight w:val="lightGray"/>
          <w:u w:val="single"/>
        </w:rPr>
        <w:t>DBV-Konjunkturbarometer:</w:t>
      </w:r>
    </w:p>
    <w:p w:rsidR="0027738A" w:rsidRDefault="0027738A" w:rsidP="00CD28D2">
      <w:pPr>
        <w:pStyle w:val="Default"/>
        <w:jc w:val="both"/>
        <w:rPr>
          <w:rFonts w:ascii="Verdana" w:hAnsi="Verdana"/>
          <w:b/>
          <w:sz w:val="18"/>
          <w:szCs w:val="18"/>
          <w:u w:val="single"/>
        </w:rPr>
      </w:pPr>
      <w:r w:rsidRPr="00820073">
        <w:rPr>
          <w:rFonts w:ascii="Verdana" w:hAnsi="Verdana"/>
          <w:b/>
          <w:sz w:val="18"/>
          <w:szCs w:val="18"/>
          <w:highlight w:val="lightGray"/>
          <w:u w:val="single"/>
        </w:rPr>
        <w:t>Weitere Eintrübung der wirtschaftlichen Lage</w:t>
      </w:r>
    </w:p>
    <w:p w:rsidR="00FF1BDA" w:rsidRPr="00820073" w:rsidRDefault="0027738A" w:rsidP="0049630F">
      <w:pPr>
        <w:ind w:right="-60"/>
        <w:jc w:val="both"/>
        <w:rPr>
          <w:rFonts w:ascii="Century Gothic" w:hAnsi="Century Gothic"/>
          <w:sz w:val="18"/>
          <w:szCs w:val="18"/>
        </w:rPr>
      </w:pPr>
      <w:r w:rsidRPr="00820073">
        <w:rPr>
          <w:rFonts w:ascii="Century Gothic" w:hAnsi="Century Gothic"/>
          <w:sz w:val="18"/>
          <w:szCs w:val="18"/>
        </w:rPr>
        <w:t>Die Ergebnisse des Konjunkturbarometer Agrar des Deutschen Bauernverbandes (DBV) zeigen für den Dezember 2015 eine weiter verschlechterte wirtschaft</w:t>
      </w:r>
      <w:r w:rsidR="00820073">
        <w:rPr>
          <w:rFonts w:ascii="Century Gothic" w:hAnsi="Century Gothic"/>
          <w:sz w:val="18"/>
          <w:szCs w:val="18"/>
        </w:rPr>
        <w:t>liche Stimmungslage in der deut</w:t>
      </w:r>
      <w:r w:rsidRPr="00820073">
        <w:rPr>
          <w:rFonts w:ascii="Century Gothic" w:hAnsi="Century Gothic"/>
          <w:sz w:val="18"/>
          <w:szCs w:val="18"/>
        </w:rPr>
        <w:t>schen Landwirtschaft. Eine angespanntere Liquiditätslage in viel</w:t>
      </w:r>
      <w:r w:rsidR="00820073">
        <w:rPr>
          <w:rFonts w:ascii="Century Gothic" w:hAnsi="Century Gothic"/>
          <w:sz w:val="18"/>
          <w:szCs w:val="18"/>
        </w:rPr>
        <w:t>en Betrieben führt zu einem wei</w:t>
      </w:r>
      <w:r w:rsidRPr="00820073">
        <w:rPr>
          <w:rFonts w:ascii="Century Gothic" w:hAnsi="Century Gothic"/>
          <w:sz w:val="18"/>
          <w:szCs w:val="18"/>
        </w:rPr>
        <w:t>teren drastischen Rückgang der Investitionsbereitschaft. Das für die nächsten 6 Monate geplante Investitionsvolumen erreicht mit 3,3 Mrd. Euro einen neuen Tiefpunkt.</w:t>
      </w:r>
    </w:p>
    <w:p w:rsidR="0027738A" w:rsidRDefault="0027738A" w:rsidP="0049630F">
      <w:pPr>
        <w:ind w:right="-60"/>
        <w:jc w:val="both"/>
        <w:rPr>
          <w:sz w:val="21"/>
          <w:szCs w:val="21"/>
        </w:rPr>
      </w:pPr>
    </w:p>
    <w:p w:rsidR="0027738A" w:rsidRDefault="0027738A" w:rsidP="0049630F">
      <w:pPr>
        <w:ind w:right="-60"/>
        <w:jc w:val="both"/>
        <w:rPr>
          <w:rFonts w:ascii="Century Gothic" w:hAnsi="Century Gothic"/>
          <w:sz w:val="18"/>
          <w:szCs w:val="18"/>
        </w:rPr>
      </w:pPr>
      <w:r>
        <w:rPr>
          <w:rFonts w:ascii="Century Gothic" w:hAnsi="Century Gothic"/>
          <w:noProof/>
          <w:sz w:val="18"/>
          <w:szCs w:val="18"/>
        </w:rPr>
        <w:drawing>
          <wp:inline distT="0" distB="0" distL="0" distR="0">
            <wp:extent cx="3048000" cy="2241432"/>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241432"/>
                    </a:xfrm>
                    <a:prstGeom prst="rect">
                      <a:avLst/>
                    </a:prstGeom>
                    <a:noFill/>
                    <a:ln>
                      <a:noFill/>
                    </a:ln>
                  </pic:spPr>
                </pic:pic>
              </a:graphicData>
            </a:graphic>
          </wp:inline>
        </w:drawing>
      </w:r>
    </w:p>
    <w:p w:rsidR="00FF1BDA" w:rsidRDefault="00FF1BDA" w:rsidP="0049630F">
      <w:pPr>
        <w:ind w:right="-60"/>
        <w:jc w:val="both"/>
        <w:rPr>
          <w:rFonts w:ascii="Century Gothic" w:hAnsi="Century Gothic"/>
          <w:sz w:val="18"/>
          <w:szCs w:val="18"/>
        </w:rPr>
      </w:pPr>
    </w:p>
    <w:p w:rsidR="0027738A" w:rsidRPr="00820073" w:rsidRDefault="0027738A" w:rsidP="00820073">
      <w:pPr>
        <w:pStyle w:val="Default"/>
        <w:jc w:val="both"/>
        <w:rPr>
          <w:rFonts w:ascii="Century Gothic" w:hAnsi="Century Gothic"/>
          <w:sz w:val="18"/>
          <w:szCs w:val="18"/>
        </w:rPr>
      </w:pPr>
      <w:r w:rsidRPr="00820073">
        <w:rPr>
          <w:rFonts w:ascii="Century Gothic" w:hAnsi="Century Gothic"/>
          <w:sz w:val="18"/>
          <w:szCs w:val="18"/>
        </w:rPr>
        <w:t>Gegenüber dem entsprechenden Vorjahreszeitraum sind das 1,4 Mrd. Euro, gegenüber dem Stand von vor zwei Jahren sogar 3,0 Mrd. Euro weniger. Aktuel</w:t>
      </w:r>
      <w:r w:rsidR="00820073">
        <w:rPr>
          <w:rFonts w:ascii="Century Gothic" w:hAnsi="Century Gothic"/>
          <w:sz w:val="18"/>
          <w:szCs w:val="18"/>
        </w:rPr>
        <w:t>l ist der Konjunkturindex gegen</w:t>
      </w:r>
      <w:r w:rsidRPr="00820073">
        <w:rPr>
          <w:rFonts w:ascii="Century Gothic" w:hAnsi="Century Gothic"/>
          <w:sz w:val="18"/>
          <w:szCs w:val="18"/>
        </w:rPr>
        <w:t>über der vorangegangenen Erhebung (September 2015) von 14,</w:t>
      </w:r>
      <w:r w:rsidR="00820073">
        <w:rPr>
          <w:rFonts w:ascii="Century Gothic" w:hAnsi="Century Gothic"/>
          <w:sz w:val="18"/>
          <w:szCs w:val="18"/>
        </w:rPr>
        <w:t>7 auf 11,8 Punkte weiter zurück</w:t>
      </w:r>
      <w:r w:rsidRPr="00820073">
        <w:rPr>
          <w:rFonts w:ascii="Century Gothic" w:hAnsi="Century Gothic"/>
          <w:sz w:val="18"/>
          <w:szCs w:val="18"/>
        </w:rPr>
        <w:t xml:space="preserve">gegangen. Von Ende 2010 bis Mitte 2014 lag dieser Wert zwischen 30 und 35 Punkten, in der Spitze sogar bei 37 Punkten. Der Indexwert fasst die Einschätzung der aktuellen wirtschaftlichen Entwicklung und die Erwartungen an die zukünftige wirtschaftliche Entwicklung zusammen. </w:t>
      </w:r>
    </w:p>
    <w:p w:rsidR="0027738A" w:rsidRPr="00820073" w:rsidRDefault="0027738A" w:rsidP="00820073">
      <w:pPr>
        <w:ind w:right="-60"/>
        <w:jc w:val="both"/>
        <w:rPr>
          <w:rFonts w:ascii="Century Gothic" w:hAnsi="Century Gothic"/>
          <w:sz w:val="18"/>
          <w:szCs w:val="18"/>
        </w:rPr>
      </w:pPr>
      <w:r w:rsidRPr="00820073">
        <w:rPr>
          <w:rFonts w:ascii="Century Gothic" w:hAnsi="Century Gothic"/>
          <w:sz w:val="18"/>
          <w:szCs w:val="18"/>
        </w:rPr>
        <w:t>Niedrigere Erzeugerpreise auf wichtigen landwirtschaftlichen Märkten sind die Hauptgründe für die aktuell weiter verschlechterte Stimmungslage. Entlastungen sehen die Landwirte dagegen vor allem in den etwas niedrigeren Futter- und Düngemittelpreisen</w:t>
      </w:r>
      <w:r w:rsidR="00820073">
        <w:rPr>
          <w:rFonts w:ascii="Century Gothic" w:hAnsi="Century Gothic"/>
          <w:sz w:val="18"/>
          <w:szCs w:val="18"/>
        </w:rPr>
        <w:t xml:space="preserve"> sowie bei den gesunkenen Treib</w:t>
      </w:r>
      <w:r w:rsidRPr="00820073">
        <w:rPr>
          <w:rFonts w:ascii="Century Gothic" w:hAnsi="Century Gothic"/>
          <w:sz w:val="18"/>
          <w:szCs w:val="18"/>
        </w:rPr>
        <w:t>stoffpreisen. Ungünstig werden die politischen Rahmenbedingungen beurtei</w:t>
      </w:r>
      <w:r w:rsidR="00820073">
        <w:rPr>
          <w:rFonts w:ascii="Century Gothic" w:hAnsi="Century Gothic"/>
          <w:sz w:val="18"/>
          <w:szCs w:val="18"/>
        </w:rPr>
        <w:t>lt. Die nationale Ag</w:t>
      </w:r>
      <w:r w:rsidRPr="00820073">
        <w:rPr>
          <w:rFonts w:ascii="Century Gothic" w:hAnsi="Century Gothic"/>
          <w:sz w:val="18"/>
          <w:szCs w:val="18"/>
        </w:rPr>
        <w:t>rarpolitik wird im Jahresvergleich sogar deutlich schlechter bewertet. Offensichtlich tragen die anstehende Novellierung der Dünge-Verordnung sowie die kritische öffentliche Diskussion über eine moderne Landwirtschaft derzeit zusätzlich zur Verunsicheru</w:t>
      </w:r>
      <w:r w:rsidR="00820073">
        <w:rPr>
          <w:rFonts w:ascii="Century Gothic" w:hAnsi="Century Gothic"/>
          <w:sz w:val="18"/>
          <w:szCs w:val="18"/>
        </w:rPr>
        <w:t>ng der Landwirte und ihrer star</w:t>
      </w:r>
      <w:r w:rsidRPr="00820073">
        <w:rPr>
          <w:rFonts w:ascii="Century Gothic" w:hAnsi="Century Gothic"/>
          <w:sz w:val="18"/>
          <w:szCs w:val="18"/>
        </w:rPr>
        <w:t xml:space="preserve">ken Investitionszurückhaltung bei. </w:t>
      </w:r>
      <w:r w:rsidRPr="00820073">
        <w:rPr>
          <w:rFonts w:ascii="Century Gothic" w:hAnsi="Century Gothic"/>
          <w:sz w:val="18"/>
          <w:szCs w:val="18"/>
        </w:rPr>
        <w:lastRenderedPageBreak/>
        <w:t>(http://www.bauernverband.de/dbv-konjunkturbarometer-dez2015)</w:t>
      </w:r>
    </w:p>
    <w:p w:rsidR="0027738A" w:rsidRDefault="0027738A" w:rsidP="0049630F">
      <w:pPr>
        <w:ind w:right="-60"/>
        <w:jc w:val="both"/>
        <w:rPr>
          <w:rFonts w:ascii="Century Gothic" w:hAnsi="Century Gothic"/>
          <w:sz w:val="18"/>
          <w:szCs w:val="18"/>
        </w:rPr>
      </w:pPr>
    </w:p>
    <w:p w:rsidR="0049630F" w:rsidRDefault="0049630F" w:rsidP="0049630F">
      <w:pPr>
        <w:pStyle w:val="Default"/>
        <w:jc w:val="both"/>
        <w:rPr>
          <w:rFonts w:ascii="Verdana" w:hAnsi="Verdana"/>
          <w:b/>
          <w:sz w:val="18"/>
          <w:szCs w:val="18"/>
          <w:u w:val="single"/>
        </w:rPr>
      </w:pPr>
      <w:r w:rsidRPr="00820073">
        <w:rPr>
          <w:rFonts w:ascii="Verdana" w:hAnsi="Verdana"/>
          <w:b/>
          <w:sz w:val="18"/>
          <w:szCs w:val="18"/>
          <w:highlight w:val="lightGray"/>
          <w:u w:val="single"/>
        </w:rPr>
        <w:t xml:space="preserve">1.4. </w:t>
      </w:r>
      <w:r w:rsidR="00B71214" w:rsidRPr="00820073">
        <w:rPr>
          <w:rFonts w:ascii="Verdana" w:hAnsi="Verdana"/>
          <w:b/>
          <w:sz w:val="18"/>
          <w:szCs w:val="18"/>
          <w:highlight w:val="lightGray"/>
          <w:u w:val="single"/>
        </w:rPr>
        <w:t>Strukturwandel in der Landwirtschaft schreitet voran</w:t>
      </w:r>
    </w:p>
    <w:p w:rsidR="00B71214" w:rsidRPr="00820073" w:rsidRDefault="00B71214" w:rsidP="00820073">
      <w:pPr>
        <w:pStyle w:val="Default"/>
        <w:jc w:val="both"/>
        <w:rPr>
          <w:rFonts w:ascii="Century Gothic" w:hAnsi="Century Gothic"/>
          <w:sz w:val="18"/>
          <w:szCs w:val="18"/>
        </w:rPr>
      </w:pPr>
      <w:r w:rsidRPr="00820073">
        <w:rPr>
          <w:rFonts w:ascii="Century Gothic" w:hAnsi="Century Gothic"/>
          <w:sz w:val="18"/>
          <w:szCs w:val="18"/>
        </w:rPr>
        <w:t>Aus einer aktuellen Veröffentlichung des Statistikamtes der Europäischen Union (</w:t>
      </w:r>
      <w:proofErr w:type="spellStart"/>
      <w:r w:rsidRPr="00820073">
        <w:rPr>
          <w:rFonts w:ascii="Century Gothic" w:hAnsi="Century Gothic"/>
          <w:sz w:val="18"/>
          <w:szCs w:val="18"/>
        </w:rPr>
        <w:t>Eurostat</w:t>
      </w:r>
      <w:proofErr w:type="spellEnd"/>
      <w:r w:rsidRPr="00820073">
        <w:rPr>
          <w:rFonts w:ascii="Century Gothic" w:hAnsi="Century Gothic"/>
          <w:sz w:val="18"/>
          <w:szCs w:val="18"/>
        </w:rPr>
        <w:t>) geht hervor, dass die Zahl der landwirtschaftlichen Betriebe von 20</w:t>
      </w:r>
      <w:r w:rsidR="00820073">
        <w:rPr>
          <w:rFonts w:ascii="Century Gothic" w:hAnsi="Century Gothic"/>
          <w:sz w:val="18"/>
          <w:szCs w:val="18"/>
        </w:rPr>
        <w:t>03 bis 2013 europaweit um insge</w:t>
      </w:r>
      <w:r w:rsidRPr="00820073">
        <w:rPr>
          <w:rFonts w:ascii="Century Gothic" w:hAnsi="Century Gothic"/>
          <w:sz w:val="18"/>
          <w:szCs w:val="18"/>
        </w:rPr>
        <w:t>samt mehr als 25 % auf 10,8 Mio. Betriebe gesunken ist. Die landwirtschaftlich genutzte Fläche blieb mit 174,6 Mio. ha etwa konstant. Dadurch erhöhte sich die d</w:t>
      </w:r>
      <w:r w:rsidR="00820073">
        <w:rPr>
          <w:rFonts w:ascii="Century Gothic" w:hAnsi="Century Gothic"/>
          <w:sz w:val="18"/>
          <w:szCs w:val="18"/>
        </w:rPr>
        <w:t>urchschnittliche landwirtschaft</w:t>
      </w:r>
      <w:r w:rsidRPr="00820073">
        <w:rPr>
          <w:rFonts w:ascii="Century Gothic" w:hAnsi="Century Gothic"/>
          <w:sz w:val="18"/>
          <w:szCs w:val="18"/>
        </w:rPr>
        <w:t>liche Fläche je Betrieb um 38 % auf 16,1 ha. Diese Entwicklu</w:t>
      </w:r>
      <w:r w:rsidR="00820073">
        <w:rPr>
          <w:rFonts w:ascii="Century Gothic" w:hAnsi="Century Gothic"/>
          <w:sz w:val="18"/>
          <w:szCs w:val="18"/>
        </w:rPr>
        <w:t>ng wäre noch deutlicher ohne Be</w:t>
      </w:r>
      <w:r w:rsidRPr="00820073">
        <w:rPr>
          <w:rFonts w:ascii="Century Gothic" w:hAnsi="Century Gothic"/>
          <w:sz w:val="18"/>
          <w:szCs w:val="18"/>
        </w:rPr>
        <w:t xml:space="preserve">rücksichtigung Rumäniens, da sich dort bei sehr kleinräumigen Strukturen ca. 33 % aller Höfe in der EU befinden. </w:t>
      </w:r>
    </w:p>
    <w:p w:rsidR="00B71214" w:rsidRPr="00820073" w:rsidRDefault="00B71214" w:rsidP="00820073">
      <w:pPr>
        <w:pStyle w:val="Default"/>
        <w:jc w:val="both"/>
        <w:rPr>
          <w:rFonts w:ascii="Century Gothic" w:hAnsi="Century Gothic"/>
          <w:sz w:val="18"/>
          <w:szCs w:val="18"/>
        </w:rPr>
      </w:pPr>
      <w:r w:rsidRPr="00820073">
        <w:rPr>
          <w:rFonts w:ascii="Century Gothic" w:hAnsi="Century Gothic"/>
          <w:sz w:val="18"/>
          <w:szCs w:val="18"/>
        </w:rPr>
        <w:t xml:space="preserve">Die größten Agrarunternehmen gab es 2013 laut </w:t>
      </w:r>
      <w:proofErr w:type="spellStart"/>
      <w:r w:rsidRPr="00820073">
        <w:rPr>
          <w:rFonts w:ascii="Century Gothic" w:hAnsi="Century Gothic"/>
          <w:sz w:val="18"/>
          <w:szCs w:val="18"/>
        </w:rPr>
        <w:t>Eurostat</w:t>
      </w:r>
      <w:proofErr w:type="spellEnd"/>
      <w:r w:rsidRPr="00820073">
        <w:rPr>
          <w:rFonts w:ascii="Century Gothic" w:hAnsi="Century Gothic"/>
          <w:sz w:val="18"/>
          <w:szCs w:val="18"/>
        </w:rPr>
        <w:t xml:space="preserve"> in Tschechien mit einer Fläche von durchschnittlich 133 ha, in Großbritannien mit 93,6 ha und in der</w:t>
      </w:r>
      <w:r w:rsidR="0092095D">
        <w:rPr>
          <w:rFonts w:ascii="Century Gothic" w:hAnsi="Century Gothic"/>
          <w:sz w:val="18"/>
          <w:szCs w:val="18"/>
        </w:rPr>
        <w:t xml:space="preserve"> Slowakei mit 80,7 ha. In Frank</w:t>
      </w:r>
      <w:r w:rsidRPr="00820073">
        <w:rPr>
          <w:rFonts w:ascii="Century Gothic" w:hAnsi="Century Gothic"/>
          <w:sz w:val="18"/>
          <w:szCs w:val="18"/>
        </w:rPr>
        <w:t xml:space="preserve">reich waren die Betriebe mit 58,7 ha im Mittel marginal größer als in Deutschland mit 58,6 ha. In Niedersachsen liegt die durchschnittliche Größe bei 65,6 ha. Weniger als 10 ha im Durchschnitt verfügten die Landwirte in Malta, Zypern, Rumänien, Slowenien, Griechenland und Ungarn. </w:t>
      </w:r>
    </w:p>
    <w:p w:rsidR="00A40208" w:rsidRPr="00820073" w:rsidRDefault="00B71214" w:rsidP="00820073">
      <w:pPr>
        <w:ind w:right="-60"/>
        <w:jc w:val="both"/>
        <w:rPr>
          <w:rFonts w:ascii="Century Gothic" w:hAnsi="Century Gothic"/>
          <w:sz w:val="18"/>
          <w:szCs w:val="18"/>
        </w:rPr>
      </w:pPr>
      <w:r w:rsidRPr="00820073">
        <w:rPr>
          <w:rFonts w:ascii="Century Gothic" w:hAnsi="Century Gothic"/>
          <w:sz w:val="18"/>
          <w:szCs w:val="18"/>
        </w:rPr>
        <w:t>33 % aller Betriebsleiter in der EU waren mindestens 65 Jahre alt und weitere 25 % zwischen 55 und 64 Jahre. Nur 6 % der Landwirte waren hingegen jünger als 35. In Deutschland hingegen waren lediglich 7 % der Betriebsinhaber über 64 Jahre. Gleichzeitig war die Altersgruppe der 45- bis 54-Jährigen mit rund 37 % besonders stark vertreten.</w:t>
      </w:r>
    </w:p>
    <w:p w:rsidR="00B71214" w:rsidRDefault="00B71214" w:rsidP="00B71214">
      <w:pPr>
        <w:ind w:right="-60"/>
        <w:jc w:val="both"/>
        <w:rPr>
          <w:rFonts w:ascii="Century Gothic" w:hAnsi="Century Gothic" w:cs="Arial"/>
          <w:sz w:val="18"/>
          <w:szCs w:val="18"/>
        </w:rPr>
      </w:pPr>
    </w:p>
    <w:p w:rsidR="00A40208" w:rsidRDefault="00A40208" w:rsidP="00A40208">
      <w:pPr>
        <w:pStyle w:val="Default"/>
        <w:jc w:val="both"/>
        <w:rPr>
          <w:rFonts w:ascii="Verdana" w:hAnsi="Verdana"/>
          <w:b/>
          <w:sz w:val="18"/>
          <w:szCs w:val="18"/>
          <w:u w:val="single"/>
        </w:rPr>
      </w:pPr>
      <w:r w:rsidRPr="0092095D">
        <w:rPr>
          <w:rFonts w:ascii="Verdana" w:hAnsi="Verdana"/>
          <w:b/>
          <w:sz w:val="18"/>
          <w:szCs w:val="18"/>
          <w:highlight w:val="lightGray"/>
          <w:u w:val="single"/>
        </w:rPr>
        <w:t xml:space="preserve">1.5. </w:t>
      </w:r>
      <w:r w:rsidR="00B71214" w:rsidRPr="0092095D">
        <w:rPr>
          <w:rFonts w:ascii="Verdana" w:hAnsi="Verdana"/>
          <w:b/>
          <w:sz w:val="18"/>
          <w:szCs w:val="18"/>
          <w:highlight w:val="lightGray"/>
          <w:u w:val="single"/>
        </w:rPr>
        <w:t>Zukunft Direktzahlungen – Standpunkte von CDU, SPD und Grünen</w:t>
      </w:r>
    </w:p>
    <w:p w:rsidR="00F7714D" w:rsidRDefault="00B71214" w:rsidP="001114FA">
      <w:pPr>
        <w:ind w:right="-60"/>
        <w:jc w:val="both"/>
        <w:rPr>
          <w:rFonts w:ascii="Century Gothic" w:hAnsi="Century Gothic" w:cs="Arial"/>
          <w:sz w:val="18"/>
          <w:szCs w:val="18"/>
        </w:rPr>
      </w:pPr>
      <w:r>
        <w:rPr>
          <w:rFonts w:ascii="Century Gothic" w:hAnsi="Century Gothic" w:cs="Arial"/>
          <w:sz w:val="18"/>
          <w:szCs w:val="18"/>
        </w:rPr>
        <w:t xml:space="preserve">Im Jahr 2017 steht die Halbzeitbewertung </w:t>
      </w:r>
      <w:r w:rsidR="0092095D">
        <w:rPr>
          <w:rFonts w:ascii="Century Gothic" w:hAnsi="Century Gothic" w:cs="Arial"/>
          <w:sz w:val="18"/>
          <w:szCs w:val="18"/>
        </w:rPr>
        <w:t>d</w:t>
      </w:r>
      <w:r>
        <w:rPr>
          <w:rFonts w:ascii="Century Gothic" w:hAnsi="Century Gothic" w:cs="Arial"/>
          <w:sz w:val="18"/>
          <w:szCs w:val="18"/>
        </w:rPr>
        <w:t>er EU-Agrarpolitik an. Die Zukunft der Direktzahlungen steht auf dem Prüfstand. Die Parteien haben kontroverse Ansichten. Direktzahlungen abschaffen, umschichten oder weiter auszahlen?</w:t>
      </w:r>
    </w:p>
    <w:p w:rsidR="00B71214" w:rsidRDefault="00B71214" w:rsidP="001114FA">
      <w:pPr>
        <w:ind w:right="-60"/>
        <w:jc w:val="both"/>
        <w:rPr>
          <w:rFonts w:ascii="Century Gothic" w:hAnsi="Century Gothic" w:cs="Arial"/>
          <w:sz w:val="18"/>
          <w:szCs w:val="18"/>
        </w:rPr>
      </w:pPr>
      <w:r>
        <w:rPr>
          <w:rFonts w:ascii="Century Gothic" w:hAnsi="Century Gothic" w:cs="Arial"/>
          <w:sz w:val="18"/>
          <w:szCs w:val="18"/>
        </w:rPr>
        <w:t xml:space="preserve">Der Bundesfachausschuss Landwirtschaft und ländlicher Raum der CDU hat </w:t>
      </w:r>
      <w:r w:rsidR="00511F8A">
        <w:rPr>
          <w:rFonts w:ascii="Century Gothic" w:hAnsi="Century Gothic" w:cs="Arial"/>
          <w:sz w:val="18"/>
          <w:szCs w:val="18"/>
        </w:rPr>
        <w:t>sein</w:t>
      </w:r>
      <w:r>
        <w:rPr>
          <w:rFonts w:ascii="Century Gothic" w:hAnsi="Century Gothic" w:cs="Arial"/>
          <w:sz w:val="18"/>
          <w:szCs w:val="18"/>
        </w:rPr>
        <w:t xml:space="preserve"> Po</w:t>
      </w:r>
      <w:r w:rsidR="00511F8A">
        <w:rPr>
          <w:rFonts w:ascii="Century Gothic" w:hAnsi="Century Gothic" w:cs="Arial"/>
          <w:sz w:val="18"/>
          <w:szCs w:val="18"/>
        </w:rPr>
        <w:t>sitionspapier zur Zukunft der Gemeinsamen Agrarpolitik (siehe Anlage) veröffentlicht. Darin fordert die CDU stabile und verlässliche Verhältnisse für die Landwirtschaft. Die vorhandene Struktur der Direktzahlungen soll bis 2020 weiterlaufen wie bisher. Damit geht die CDU auf Konfrontationskurs mit der SPD und den Grünen.</w:t>
      </w:r>
    </w:p>
    <w:p w:rsidR="00511F8A" w:rsidRDefault="00511F8A" w:rsidP="001114FA">
      <w:pPr>
        <w:ind w:right="-60"/>
        <w:jc w:val="both"/>
        <w:rPr>
          <w:rFonts w:ascii="Century Gothic" w:hAnsi="Century Gothic" w:cs="Arial"/>
          <w:sz w:val="18"/>
          <w:szCs w:val="18"/>
        </w:rPr>
      </w:pPr>
    </w:p>
    <w:p w:rsidR="00511F8A" w:rsidRPr="00511F8A" w:rsidRDefault="00511F8A" w:rsidP="001114FA">
      <w:pPr>
        <w:ind w:right="-60"/>
        <w:jc w:val="both"/>
        <w:rPr>
          <w:rFonts w:ascii="Century Gothic" w:hAnsi="Century Gothic" w:cs="Arial"/>
          <w:b/>
          <w:sz w:val="18"/>
          <w:szCs w:val="18"/>
        </w:rPr>
      </w:pPr>
      <w:r w:rsidRPr="00511F8A">
        <w:rPr>
          <w:rFonts w:ascii="Century Gothic" w:hAnsi="Century Gothic" w:cs="Arial"/>
          <w:b/>
          <w:sz w:val="18"/>
          <w:szCs w:val="18"/>
        </w:rPr>
        <w:t>CDU will Direktzahlungen bis 2020 wie gehabt weiterführen</w:t>
      </w:r>
    </w:p>
    <w:p w:rsidR="00511F8A" w:rsidRDefault="00511F8A" w:rsidP="001114FA">
      <w:pPr>
        <w:ind w:right="-60"/>
        <w:jc w:val="both"/>
        <w:rPr>
          <w:rFonts w:ascii="Century Gothic" w:hAnsi="Century Gothic" w:cs="Arial"/>
          <w:sz w:val="18"/>
          <w:szCs w:val="18"/>
        </w:rPr>
      </w:pPr>
      <w:r>
        <w:rPr>
          <w:rFonts w:ascii="Century Gothic" w:hAnsi="Century Gothic" w:cs="Arial"/>
          <w:sz w:val="18"/>
          <w:szCs w:val="18"/>
        </w:rPr>
        <w:t xml:space="preserve">Die CDU schreibt in ihrem Papier, dass sie dafür eintreten, die vorhandene Struktur der </w:t>
      </w:r>
      <w:r w:rsidRPr="00511F8A">
        <w:rPr>
          <w:rFonts w:ascii="Century Gothic" w:hAnsi="Century Gothic" w:cs="Arial"/>
          <w:b/>
          <w:sz w:val="18"/>
          <w:szCs w:val="18"/>
        </w:rPr>
        <w:t>Direktzahlungen</w:t>
      </w:r>
      <w:r>
        <w:rPr>
          <w:rFonts w:ascii="Century Gothic" w:hAnsi="Century Gothic" w:cs="Arial"/>
          <w:sz w:val="18"/>
          <w:szCs w:val="18"/>
        </w:rPr>
        <w:t xml:space="preserve"> mit der beschlossenen Umschichtung von 4,5 Prozent von der ersten in die zweite Säule festzuschreiben und </w:t>
      </w:r>
      <w:r w:rsidRPr="00511F8A">
        <w:rPr>
          <w:rFonts w:ascii="Century Gothic" w:hAnsi="Century Gothic" w:cs="Arial"/>
          <w:b/>
          <w:sz w:val="18"/>
          <w:szCs w:val="18"/>
        </w:rPr>
        <w:t>bis 2020 fortzuführen</w:t>
      </w:r>
      <w:r>
        <w:rPr>
          <w:rFonts w:ascii="Century Gothic" w:hAnsi="Century Gothic" w:cs="Arial"/>
          <w:sz w:val="18"/>
          <w:szCs w:val="18"/>
        </w:rPr>
        <w:t xml:space="preserve">. Eine weitergehende Umschichtung lehnt die Partei ab. Bei der Überprüfung des mehrjährigen Finanzrahmens im Jahr 2016 fordert die CDU </w:t>
      </w:r>
      <w:r w:rsidRPr="00511F8A">
        <w:rPr>
          <w:rFonts w:ascii="Century Gothic" w:hAnsi="Century Gothic" w:cs="Arial"/>
          <w:b/>
          <w:sz w:val="18"/>
          <w:szCs w:val="18"/>
        </w:rPr>
        <w:t>stabile und verlässliche Rahmenbedingungen</w:t>
      </w:r>
      <w:r>
        <w:rPr>
          <w:rFonts w:ascii="Century Gothic" w:hAnsi="Century Gothic" w:cs="Arial"/>
          <w:sz w:val="18"/>
          <w:szCs w:val="18"/>
        </w:rPr>
        <w:t xml:space="preserve"> für die europäische Landwirtschaft im Agrarhaushalt. Eine weitergehende Festlegung zur Ausweitung der </w:t>
      </w:r>
      <w:r w:rsidRPr="00511F8A">
        <w:rPr>
          <w:rFonts w:ascii="Century Gothic" w:hAnsi="Century Gothic" w:cs="Arial"/>
          <w:b/>
          <w:sz w:val="18"/>
          <w:szCs w:val="18"/>
        </w:rPr>
        <w:t>verpflichtenden ökologischen Vorrangflächen</w:t>
      </w:r>
      <w:r>
        <w:rPr>
          <w:rFonts w:ascii="Century Gothic" w:hAnsi="Century Gothic" w:cs="Arial"/>
          <w:sz w:val="18"/>
          <w:szCs w:val="18"/>
        </w:rPr>
        <w:t xml:space="preserve"> über die bisherigen 5 Prozent im Rahmen einer Halbzeitbewertung 2017 hält die CDU aus agrarökologischer Sicht nicht für notwendig und </w:t>
      </w:r>
      <w:r>
        <w:rPr>
          <w:rFonts w:ascii="Century Gothic" w:hAnsi="Century Gothic" w:cs="Arial"/>
          <w:sz w:val="18"/>
          <w:szCs w:val="18"/>
        </w:rPr>
        <w:lastRenderedPageBreak/>
        <w:t>angesichts des kurzen Zeitraums für die Landwirte auch nicht für zumutbar.</w:t>
      </w:r>
    </w:p>
    <w:p w:rsidR="00511F8A" w:rsidRDefault="00511F8A" w:rsidP="001114FA">
      <w:pPr>
        <w:ind w:right="-60"/>
        <w:jc w:val="both"/>
        <w:rPr>
          <w:rFonts w:ascii="Century Gothic" w:hAnsi="Century Gothic" w:cs="Arial"/>
          <w:sz w:val="18"/>
          <w:szCs w:val="18"/>
        </w:rPr>
      </w:pPr>
    </w:p>
    <w:p w:rsidR="00511F8A" w:rsidRPr="00511F8A" w:rsidRDefault="00511F8A" w:rsidP="001114FA">
      <w:pPr>
        <w:ind w:right="-60"/>
        <w:jc w:val="both"/>
        <w:rPr>
          <w:rFonts w:ascii="Century Gothic" w:hAnsi="Century Gothic" w:cs="Arial"/>
          <w:b/>
          <w:sz w:val="18"/>
          <w:szCs w:val="18"/>
        </w:rPr>
      </w:pPr>
      <w:r w:rsidRPr="00511F8A">
        <w:rPr>
          <w:rFonts w:ascii="Century Gothic" w:hAnsi="Century Gothic" w:cs="Arial"/>
          <w:b/>
          <w:sz w:val="18"/>
          <w:szCs w:val="18"/>
        </w:rPr>
        <w:t>SPD will Agrarsubventionen ab 2020 abschaffen</w:t>
      </w:r>
    </w:p>
    <w:p w:rsidR="00511F8A" w:rsidRDefault="00511F8A" w:rsidP="001114FA">
      <w:pPr>
        <w:ind w:right="-60"/>
        <w:jc w:val="both"/>
        <w:rPr>
          <w:rFonts w:ascii="Century Gothic" w:hAnsi="Century Gothic" w:cs="Arial"/>
          <w:sz w:val="18"/>
          <w:szCs w:val="18"/>
        </w:rPr>
      </w:pPr>
      <w:r>
        <w:rPr>
          <w:rFonts w:ascii="Century Gothic" w:hAnsi="Century Gothic" w:cs="Arial"/>
          <w:sz w:val="18"/>
          <w:szCs w:val="18"/>
        </w:rPr>
        <w:t>Ganz anders äußerte sich die SPD. Sie sprach sich bei der Debatte um den Haushalt erneut für eine grundlegende Neuausrichtung der Gemeinsamen Agrarpoliti</w:t>
      </w:r>
      <w:r w:rsidR="0092095D">
        <w:rPr>
          <w:rFonts w:ascii="Century Gothic" w:hAnsi="Century Gothic" w:cs="Arial"/>
          <w:sz w:val="18"/>
          <w:szCs w:val="18"/>
        </w:rPr>
        <w:t>k</w:t>
      </w:r>
      <w:r>
        <w:rPr>
          <w:rFonts w:ascii="Century Gothic" w:hAnsi="Century Gothic" w:cs="Arial"/>
          <w:sz w:val="18"/>
          <w:szCs w:val="18"/>
        </w:rPr>
        <w:t>(</w:t>
      </w:r>
      <w:hyperlink r:id="rId15" w:history="1">
        <w:r w:rsidRPr="005B663D">
          <w:rPr>
            <w:rStyle w:val="Hyperlink"/>
            <w:rFonts w:ascii="Century Gothic" w:hAnsi="Century Gothic" w:cs="Arial"/>
            <w:sz w:val="18"/>
            <w:szCs w:val="18"/>
          </w:rPr>
          <w:t>http://www.agrarheute.com/newes/hendricks-bleibt-dabei-direktzahlungen-abschaffen</w:t>
        </w:r>
      </w:hyperlink>
      <w:r>
        <w:rPr>
          <w:rFonts w:ascii="Century Gothic" w:hAnsi="Century Gothic" w:cs="Arial"/>
          <w:sz w:val="18"/>
          <w:szCs w:val="18"/>
        </w:rPr>
        <w:t xml:space="preserve">) (GAP) aus. Barbara Hendricks, Bundesministerium für Umwelt, Natur, Bau und Reaktorsicherheit (BMUB) plädiert dafür </w:t>
      </w:r>
      <w:r w:rsidRPr="00511F8A">
        <w:rPr>
          <w:rFonts w:ascii="Century Gothic" w:hAnsi="Century Gothic" w:cs="Arial"/>
          <w:b/>
          <w:sz w:val="18"/>
          <w:szCs w:val="18"/>
        </w:rPr>
        <w:t>Agrarsubventionen ab 2020 abzuschaffen</w:t>
      </w:r>
      <w:r>
        <w:rPr>
          <w:rFonts w:ascii="Century Gothic" w:hAnsi="Century Gothic" w:cs="Arial"/>
          <w:sz w:val="18"/>
          <w:szCs w:val="18"/>
        </w:rPr>
        <w:t xml:space="preserve">. In der Broschüre </w:t>
      </w:r>
      <w:r w:rsidR="00EA74E6">
        <w:rPr>
          <w:rFonts w:ascii="Century Gothic" w:hAnsi="Century Gothic" w:cs="Arial"/>
          <w:sz w:val="18"/>
          <w:szCs w:val="18"/>
          <w:u w:val="single"/>
        </w:rPr>
        <w:t>Naturschutzoffensive 2020 (</w:t>
      </w:r>
      <w:hyperlink r:id="rId16" w:history="1">
        <w:r w:rsidR="00EA74E6" w:rsidRPr="005B663D">
          <w:rPr>
            <w:rStyle w:val="Hyperlink"/>
            <w:rFonts w:ascii="Century Gothic" w:hAnsi="Century Gothic" w:cs="Arial"/>
            <w:sz w:val="18"/>
            <w:szCs w:val="18"/>
          </w:rPr>
          <w:t>http://www.bmub.bund.de/fileadmin/Daten_BMU/Pools/Broschueren/naturschutzoffensive_2020_broschuere_bf.pdf</w:t>
        </w:r>
      </w:hyperlink>
      <w:r w:rsidRPr="00EA74E6">
        <w:rPr>
          <w:rFonts w:ascii="Century Gothic" w:hAnsi="Century Gothic" w:cs="Arial"/>
          <w:sz w:val="18"/>
          <w:szCs w:val="18"/>
          <w:u w:val="single"/>
        </w:rPr>
        <w:t>)</w:t>
      </w:r>
      <w:r w:rsidR="00EA74E6" w:rsidRPr="00EA74E6">
        <w:rPr>
          <w:rFonts w:ascii="Century Gothic" w:hAnsi="Century Gothic" w:cs="Arial"/>
          <w:sz w:val="18"/>
          <w:szCs w:val="18"/>
        </w:rPr>
        <w:t xml:space="preserve"> </w:t>
      </w:r>
      <w:r w:rsidR="00EA74E6">
        <w:rPr>
          <w:rFonts w:ascii="Century Gothic" w:hAnsi="Century Gothic" w:cs="Arial"/>
          <w:sz w:val="18"/>
          <w:szCs w:val="18"/>
        </w:rPr>
        <w:t xml:space="preserve"> steht, dass schon ab 2018 mehr Mittel der sogenannten 1. Säule in die Förderung der ländlichen Entwicklung umgeschichtet werden sollen.</w:t>
      </w:r>
      <w:r>
        <w:rPr>
          <w:rFonts w:ascii="Century Gothic" w:hAnsi="Century Gothic" w:cs="Arial"/>
          <w:sz w:val="18"/>
          <w:szCs w:val="18"/>
        </w:rPr>
        <w:t xml:space="preserve"> </w:t>
      </w:r>
    </w:p>
    <w:p w:rsidR="00EA74E6" w:rsidRDefault="00EA74E6" w:rsidP="001114FA">
      <w:pPr>
        <w:ind w:right="-60"/>
        <w:jc w:val="both"/>
        <w:rPr>
          <w:rFonts w:ascii="Century Gothic" w:hAnsi="Century Gothic" w:cs="Arial"/>
          <w:sz w:val="18"/>
          <w:szCs w:val="18"/>
        </w:rPr>
      </w:pPr>
      <w:r>
        <w:rPr>
          <w:rFonts w:ascii="Century Gothic" w:hAnsi="Century Gothic" w:cs="Arial"/>
          <w:sz w:val="18"/>
          <w:szCs w:val="18"/>
        </w:rPr>
        <w:t xml:space="preserve">Auf EU-Ebene soll durchgesetzt werden, dass der Anteil von </w:t>
      </w:r>
      <w:r w:rsidRPr="00EA74E6">
        <w:rPr>
          <w:rFonts w:ascii="Century Gothic" w:hAnsi="Century Gothic" w:cs="Arial"/>
          <w:b/>
          <w:sz w:val="18"/>
          <w:szCs w:val="18"/>
        </w:rPr>
        <w:t>ökologischen Vorrangflächen</w:t>
      </w:r>
      <w:r>
        <w:rPr>
          <w:rFonts w:ascii="Century Gothic" w:hAnsi="Century Gothic" w:cs="Arial"/>
          <w:sz w:val="18"/>
          <w:szCs w:val="18"/>
        </w:rPr>
        <w:t xml:space="preserve">, die im Rahmen der 1. Säule bereitgestellt werden müssen, um Agrarsubventionen zu erhalten, von fünf auf </w:t>
      </w:r>
      <w:r w:rsidRPr="00EA74E6">
        <w:rPr>
          <w:rFonts w:ascii="Century Gothic" w:hAnsi="Century Gothic" w:cs="Arial"/>
          <w:b/>
          <w:sz w:val="18"/>
          <w:szCs w:val="18"/>
        </w:rPr>
        <w:t>sieben Prozent</w:t>
      </w:r>
      <w:r>
        <w:rPr>
          <w:rFonts w:ascii="Century Gothic" w:hAnsi="Century Gothic" w:cs="Arial"/>
          <w:sz w:val="18"/>
          <w:szCs w:val="18"/>
        </w:rPr>
        <w:t xml:space="preserve"> des Ackerlandes </w:t>
      </w:r>
      <w:r w:rsidRPr="00EA74E6">
        <w:rPr>
          <w:rFonts w:ascii="Century Gothic" w:hAnsi="Century Gothic" w:cs="Arial"/>
          <w:b/>
          <w:sz w:val="18"/>
          <w:szCs w:val="18"/>
        </w:rPr>
        <w:t xml:space="preserve">erhöht </w:t>
      </w:r>
      <w:r>
        <w:rPr>
          <w:rFonts w:ascii="Century Gothic" w:hAnsi="Century Gothic" w:cs="Arial"/>
          <w:sz w:val="18"/>
          <w:szCs w:val="18"/>
        </w:rPr>
        <w:t>wird. Das BMUB wird darauf drängen, dass diese Privilegierung in der nächsten EU-Finanzperiode ab 2021 beendet wird. Die freiwerdenden Mittel sollen insbesondere dafür eingesetzt werden, konkrete Leistungen im Naturschutz zu bezahlen.</w:t>
      </w:r>
    </w:p>
    <w:p w:rsidR="00EA74E6" w:rsidRDefault="00EA74E6" w:rsidP="001114FA">
      <w:pPr>
        <w:ind w:right="-60"/>
        <w:jc w:val="both"/>
        <w:rPr>
          <w:rFonts w:ascii="Century Gothic" w:hAnsi="Century Gothic" w:cs="Arial"/>
          <w:sz w:val="18"/>
          <w:szCs w:val="18"/>
        </w:rPr>
      </w:pPr>
    </w:p>
    <w:p w:rsidR="00EA74E6" w:rsidRPr="00EA74E6" w:rsidRDefault="00EA74E6" w:rsidP="001114FA">
      <w:pPr>
        <w:ind w:right="-60"/>
        <w:jc w:val="both"/>
        <w:rPr>
          <w:rFonts w:ascii="Century Gothic" w:hAnsi="Century Gothic" w:cs="Arial"/>
          <w:b/>
          <w:sz w:val="18"/>
          <w:szCs w:val="18"/>
        </w:rPr>
      </w:pPr>
      <w:r w:rsidRPr="00EA74E6">
        <w:rPr>
          <w:rFonts w:ascii="Century Gothic" w:hAnsi="Century Gothic" w:cs="Arial"/>
          <w:b/>
          <w:sz w:val="18"/>
          <w:szCs w:val="18"/>
        </w:rPr>
        <w:t>Grüne wollen Greening weiter vorantreiben</w:t>
      </w:r>
    </w:p>
    <w:p w:rsidR="00EA74E6" w:rsidRDefault="00EA74E6" w:rsidP="001114FA">
      <w:pPr>
        <w:ind w:right="-60"/>
        <w:jc w:val="both"/>
        <w:rPr>
          <w:rFonts w:ascii="Century Gothic" w:hAnsi="Century Gothic" w:cs="Arial"/>
          <w:sz w:val="18"/>
          <w:szCs w:val="18"/>
        </w:rPr>
      </w:pPr>
      <w:r>
        <w:rPr>
          <w:rFonts w:ascii="Century Gothic" w:hAnsi="Century Gothic" w:cs="Arial"/>
          <w:sz w:val="18"/>
          <w:szCs w:val="18"/>
        </w:rPr>
        <w:t xml:space="preserve">Als Reaktion auf das Positionspapier der CDU äußerte sich Friedrich </w:t>
      </w:r>
      <w:proofErr w:type="spellStart"/>
      <w:r>
        <w:rPr>
          <w:rFonts w:ascii="Century Gothic" w:hAnsi="Century Gothic" w:cs="Arial"/>
          <w:sz w:val="18"/>
          <w:szCs w:val="18"/>
        </w:rPr>
        <w:t>Ostendorff</w:t>
      </w:r>
      <w:proofErr w:type="spellEnd"/>
      <w:r>
        <w:rPr>
          <w:rFonts w:ascii="Century Gothic" w:hAnsi="Century Gothic" w:cs="Arial"/>
          <w:sz w:val="18"/>
          <w:szCs w:val="18"/>
        </w:rPr>
        <w:t xml:space="preserve">, Sprecher für Agrarpolitik der Bundestagsfraktion Bündnis90/Grüne, Maria </w:t>
      </w:r>
      <w:proofErr w:type="spellStart"/>
      <w:r>
        <w:rPr>
          <w:rFonts w:ascii="Century Gothic" w:hAnsi="Century Gothic" w:cs="Arial"/>
          <w:sz w:val="18"/>
          <w:szCs w:val="18"/>
        </w:rPr>
        <w:t>Heubuch</w:t>
      </w:r>
      <w:proofErr w:type="spellEnd"/>
      <w:r>
        <w:rPr>
          <w:rFonts w:ascii="Century Gothic" w:hAnsi="Century Gothic" w:cs="Arial"/>
          <w:sz w:val="18"/>
          <w:szCs w:val="18"/>
        </w:rPr>
        <w:t>, Mitglied im Agrarausschuss des Europäischen Parlamentes und Bernd Voss, Sprecher für Agrarpolitik im Landtag Schleswig-Holstein in einer gemeinsamen Pressemitteilung.  Die Landwirtschaftspolitiker der Grünen fordern auf EU-, Bundes- und Landesebene:</w:t>
      </w:r>
    </w:p>
    <w:p w:rsidR="00EA74E6" w:rsidRDefault="00EA74E6" w:rsidP="001114FA">
      <w:pPr>
        <w:ind w:right="-60"/>
        <w:jc w:val="both"/>
        <w:rPr>
          <w:rFonts w:ascii="Century Gothic" w:hAnsi="Century Gothic" w:cs="Arial"/>
          <w:sz w:val="18"/>
          <w:szCs w:val="18"/>
        </w:rPr>
      </w:pPr>
    </w:p>
    <w:p w:rsidR="00EA74E6" w:rsidRDefault="00EA74E6" w:rsidP="00EA74E6">
      <w:pPr>
        <w:pStyle w:val="Listenabsatz"/>
        <w:numPr>
          <w:ilvl w:val="0"/>
          <w:numId w:val="40"/>
        </w:numPr>
        <w:ind w:right="-60"/>
        <w:jc w:val="both"/>
        <w:rPr>
          <w:rFonts w:ascii="Century Gothic" w:hAnsi="Century Gothic" w:cs="Arial"/>
          <w:sz w:val="18"/>
          <w:szCs w:val="18"/>
        </w:rPr>
      </w:pPr>
      <w:r>
        <w:rPr>
          <w:rFonts w:ascii="Century Gothic" w:hAnsi="Century Gothic" w:cs="Arial"/>
          <w:sz w:val="18"/>
          <w:szCs w:val="18"/>
        </w:rPr>
        <w:t>Die Umschichtung von heute 4,5 % auf die möglichen 15 % in 2018 anzuheben.</w:t>
      </w:r>
    </w:p>
    <w:p w:rsidR="00EA74E6" w:rsidRDefault="00EA74E6" w:rsidP="00EA74E6">
      <w:pPr>
        <w:pStyle w:val="Listenabsatz"/>
        <w:numPr>
          <w:ilvl w:val="0"/>
          <w:numId w:val="40"/>
        </w:numPr>
        <w:ind w:right="-60"/>
        <w:jc w:val="both"/>
        <w:rPr>
          <w:rFonts w:ascii="Century Gothic" w:hAnsi="Century Gothic" w:cs="Arial"/>
          <w:sz w:val="18"/>
          <w:szCs w:val="18"/>
        </w:rPr>
      </w:pPr>
      <w:r>
        <w:rPr>
          <w:rFonts w:ascii="Century Gothic" w:hAnsi="Century Gothic" w:cs="Arial"/>
          <w:sz w:val="18"/>
          <w:szCs w:val="18"/>
        </w:rPr>
        <w:t>Volle Umschichtung zugunsten kleinerer und mittlerer Betriebe durch Kappung der Direktzahlungen und Ver</w:t>
      </w:r>
      <w:r w:rsidR="0092095D">
        <w:rPr>
          <w:rFonts w:ascii="Century Gothic" w:hAnsi="Century Gothic" w:cs="Arial"/>
          <w:sz w:val="18"/>
          <w:szCs w:val="18"/>
        </w:rPr>
        <w:t>teilung auf die jeweils ersten H</w:t>
      </w:r>
      <w:r>
        <w:rPr>
          <w:rFonts w:ascii="Century Gothic" w:hAnsi="Century Gothic" w:cs="Arial"/>
          <w:sz w:val="18"/>
          <w:szCs w:val="18"/>
        </w:rPr>
        <w:t>ektare je Betrieb. D.</w:t>
      </w:r>
      <w:r w:rsidR="0092095D">
        <w:rPr>
          <w:rFonts w:ascii="Century Gothic" w:hAnsi="Century Gothic" w:cs="Arial"/>
          <w:sz w:val="18"/>
          <w:szCs w:val="18"/>
        </w:rPr>
        <w:t xml:space="preserve"> </w:t>
      </w:r>
      <w:r>
        <w:rPr>
          <w:rFonts w:ascii="Century Gothic" w:hAnsi="Century Gothic" w:cs="Arial"/>
          <w:sz w:val="18"/>
          <w:szCs w:val="18"/>
        </w:rPr>
        <w:t>h. die Umschichtung von heute 7 % auf die möglichen 30 % anzuheben. Auch hier sind andere Mitgliedstaaten, insbesondere Frankreich, viel weiter.</w:t>
      </w:r>
    </w:p>
    <w:p w:rsidR="00EA74E6" w:rsidRDefault="00EA74E6" w:rsidP="00EA74E6">
      <w:pPr>
        <w:pStyle w:val="Listenabsatz"/>
        <w:numPr>
          <w:ilvl w:val="0"/>
          <w:numId w:val="40"/>
        </w:numPr>
        <w:ind w:right="-60"/>
        <w:jc w:val="both"/>
        <w:rPr>
          <w:rFonts w:ascii="Century Gothic" w:hAnsi="Century Gothic" w:cs="Arial"/>
          <w:sz w:val="18"/>
          <w:szCs w:val="18"/>
        </w:rPr>
      </w:pPr>
      <w:r>
        <w:rPr>
          <w:rFonts w:ascii="Century Gothic" w:hAnsi="Century Gothic" w:cs="Arial"/>
          <w:sz w:val="18"/>
          <w:szCs w:val="18"/>
        </w:rPr>
        <w:t>Greening weiterentwickeln und die Anforderungen an ökologische Vorrangfläche anziehen.</w:t>
      </w:r>
    </w:p>
    <w:p w:rsidR="00EA74E6" w:rsidRPr="00EA74E6" w:rsidRDefault="00EA74E6" w:rsidP="00EA74E6">
      <w:pPr>
        <w:pStyle w:val="Listenabsatz"/>
        <w:numPr>
          <w:ilvl w:val="0"/>
          <w:numId w:val="40"/>
        </w:numPr>
        <w:ind w:right="-60"/>
        <w:jc w:val="both"/>
        <w:rPr>
          <w:rFonts w:ascii="Century Gothic" w:hAnsi="Century Gothic" w:cs="Arial"/>
          <w:sz w:val="18"/>
          <w:szCs w:val="18"/>
        </w:rPr>
      </w:pPr>
      <w:r>
        <w:rPr>
          <w:rFonts w:ascii="Century Gothic" w:hAnsi="Century Gothic" w:cs="Arial"/>
          <w:sz w:val="18"/>
          <w:szCs w:val="18"/>
        </w:rPr>
        <w:t>Ausweitung der Anwendun</w:t>
      </w:r>
      <w:r w:rsidR="0092095D">
        <w:rPr>
          <w:rFonts w:ascii="Century Gothic" w:hAnsi="Century Gothic" w:cs="Arial"/>
          <w:sz w:val="18"/>
          <w:szCs w:val="18"/>
        </w:rPr>
        <w:t>gsverbote von Pflanzenschutz- und</w:t>
      </w:r>
      <w:r>
        <w:rPr>
          <w:rFonts w:ascii="Century Gothic" w:hAnsi="Century Gothic" w:cs="Arial"/>
          <w:sz w:val="18"/>
          <w:szCs w:val="18"/>
        </w:rPr>
        <w:t xml:space="preserve"> Düngemitteln auf den ökologischen Vorrangflächen.</w:t>
      </w:r>
    </w:p>
    <w:p w:rsidR="00F7714D" w:rsidRDefault="00F7714D" w:rsidP="001114FA">
      <w:pPr>
        <w:ind w:right="-60"/>
        <w:jc w:val="both"/>
        <w:rPr>
          <w:rFonts w:ascii="Century Gothic" w:hAnsi="Century Gothic" w:cs="Arial"/>
          <w:sz w:val="18"/>
          <w:szCs w:val="18"/>
        </w:rPr>
      </w:pPr>
    </w:p>
    <w:p w:rsidR="00A40208" w:rsidRDefault="00A40208" w:rsidP="0049630F">
      <w:pPr>
        <w:ind w:right="-60"/>
        <w:jc w:val="both"/>
        <w:rPr>
          <w:rFonts w:ascii="Century Gothic" w:hAnsi="Century Gothic" w:cs="Arial"/>
          <w:sz w:val="18"/>
          <w:szCs w:val="18"/>
        </w:rPr>
      </w:pPr>
    </w:p>
    <w:p w:rsidR="00CD0C4B" w:rsidRDefault="00B74CB0" w:rsidP="00B74CB0">
      <w:pPr>
        <w:ind w:right="-60"/>
        <w:jc w:val="both"/>
        <w:rPr>
          <w:rFonts w:ascii="Verdana" w:hAnsi="Verdana" w:cs="Arial"/>
          <w:b/>
          <w:sz w:val="22"/>
          <w:szCs w:val="22"/>
          <w:highlight w:val="darkYellow"/>
          <w:u w:val="single"/>
        </w:rPr>
      </w:pPr>
      <w:r>
        <w:rPr>
          <w:rFonts w:ascii="Verdana" w:hAnsi="Verdana" w:cs="Arial"/>
          <w:b/>
          <w:sz w:val="22"/>
          <w:szCs w:val="22"/>
          <w:highlight w:val="darkYellow"/>
          <w:u w:val="single"/>
        </w:rPr>
        <w:t>2</w:t>
      </w:r>
      <w:r w:rsidRPr="00F954E2">
        <w:rPr>
          <w:rFonts w:ascii="Verdana" w:hAnsi="Verdana" w:cs="Arial"/>
          <w:b/>
          <w:sz w:val="22"/>
          <w:szCs w:val="22"/>
          <w:highlight w:val="darkYellow"/>
          <w:u w:val="single"/>
        </w:rPr>
        <w:t xml:space="preserve">. </w:t>
      </w:r>
      <w:r w:rsidR="00EA74E6">
        <w:rPr>
          <w:rFonts w:ascii="Verdana" w:hAnsi="Verdana" w:cs="Arial"/>
          <w:b/>
          <w:sz w:val="22"/>
          <w:szCs w:val="22"/>
          <w:highlight w:val="darkYellow"/>
          <w:u w:val="single"/>
        </w:rPr>
        <w:t>Düngung/Pflanzenschutz</w:t>
      </w:r>
    </w:p>
    <w:p w:rsidR="00A11337" w:rsidRDefault="00A11337" w:rsidP="00410347">
      <w:pPr>
        <w:ind w:right="72"/>
        <w:jc w:val="both"/>
        <w:rPr>
          <w:rFonts w:ascii="Verdana" w:hAnsi="Verdana" w:cs="Arial"/>
          <w:b/>
          <w:sz w:val="18"/>
          <w:szCs w:val="18"/>
          <w:highlight w:val="lightGray"/>
          <w:u w:val="single"/>
        </w:rPr>
      </w:pPr>
      <w:r>
        <w:rPr>
          <w:rFonts w:ascii="Verdana" w:hAnsi="Verdana" w:cs="Arial"/>
          <w:b/>
          <w:sz w:val="18"/>
          <w:szCs w:val="18"/>
          <w:highlight w:val="lightGray"/>
          <w:u w:val="single"/>
        </w:rPr>
        <w:t xml:space="preserve">2.1. </w:t>
      </w:r>
      <w:r w:rsidR="00EA74E6">
        <w:rPr>
          <w:rFonts w:ascii="Verdana" w:hAnsi="Verdana" w:cs="Arial"/>
          <w:b/>
          <w:sz w:val="18"/>
          <w:szCs w:val="18"/>
          <w:highlight w:val="lightGray"/>
          <w:u w:val="single"/>
        </w:rPr>
        <w:t>Düngung</w:t>
      </w:r>
    </w:p>
    <w:p w:rsidR="00EA74E6" w:rsidRPr="00EA74E6" w:rsidRDefault="00EA74E6" w:rsidP="00410347">
      <w:pPr>
        <w:ind w:right="72"/>
        <w:jc w:val="both"/>
        <w:rPr>
          <w:rFonts w:ascii="Verdana" w:hAnsi="Verdana" w:cs="Arial"/>
          <w:b/>
          <w:sz w:val="18"/>
          <w:szCs w:val="18"/>
          <w:u w:val="single"/>
        </w:rPr>
      </w:pPr>
      <w:r w:rsidRPr="0092095D">
        <w:rPr>
          <w:rFonts w:ascii="Verdana" w:hAnsi="Verdana" w:cs="Arial"/>
          <w:b/>
          <w:sz w:val="18"/>
          <w:szCs w:val="18"/>
          <w:highlight w:val="lightGray"/>
          <w:u w:val="single"/>
        </w:rPr>
        <w:t>2.1.1. Bundesländer fordern weitergehende Änderungen beim Düngegesetz</w:t>
      </w:r>
    </w:p>
    <w:p w:rsidR="00664D06" w:rsidRPr="00820073" w:rsidRDefault="00664D06" w:rsidP="00820073">
      <w:pPr>
        <w:pStyle w:val="Default"/>
        <w:jc w:val="both"/>
        <w:rPr>
          <w:rFonts w:ascii="Century Gothic" w:hAnsi="Century Gothic"/>
          <w:sz w:val="18"/>
          <w:szCs w:val="18"/>
        </w:rPr>
      </w:pPr>
      <w:r w:rsidRPr="00820073">
        <w:rPr>
          <w:rFonts w:ascii="Century Gothic" w:hAnsi="Century Gothic"/>
          <w:sz w:val="18"/>
          <w:szCs w:val="18"/>
        </w:rPr>
        <w:t xml:space="preserve">Aus einer gemeinsamen Stellungnahme des Ausschusses für Agrarpolitik und Verbraucherschutz (AV) und des Ausschusses für Umwelt, Naturschutz und Reaktorsicherheit (U) an den Bundesrat zu den geplanten Änderungen der Bundesregierung beim Düngegesetz geht hervor, dass die meisten </w:t>
      </w:r>
      <w:r w:rsidRPr="00820073">
        <w:rPr>
          <w:rFonts w:ascii="Century Gothic" w:hAnsi="Century Gothic"/>
          <w:sz w:val="18"/>
          <w:szCs w:val="18"/>
        </w:rPr>
        <w:lastRenderedPageBreak/>
        <w:t xml:space="preserve">Bundesländer die geplanten Änderungen für nicht ausreichend erachten. </w:t>
      </w:r>
    </w:p>
    <w:p w:rsidR="00664D06" w:rsidRDefault="00664D06" w:rsidP="00820073">
      <w:pPr>
        <w:pStyle w:val="Default"/>
        <w:jc w:val="both"/>
        <w:rPr>
          <w:rFonts w:ascii="Century Gothic" w:hAnsi="Century Gothic"/>
          <w:sz w:val="18"/>
          <w:szCs w:val="18"/>
        </w:rPr>
      </w:pPr>
      <w:r w:rsidRPr="00820073">
        <w:rPr>
          <w:rFonts w:ascii="Century Gothic" w:hAnsi="Century Gothic"/>
          <w:sz w:val="18"/>
          <w:szCs w:val="18"/>
        </w:rPr>
        <w:t>Die Länder fordern weitere Erleichterungen beim vorgesehenen Datenabgleich zwischen unter-schiedlichen Behörden für eine bessere Kontrolle der Düngung. Insbesonder</w:t>
      </w:r>
      <w:r w:rsidR="0092095D">
        <w:rPr>
          <w:rFonts w:ascii="Century Gothic" w:hAnsi="Century Gothic"/>
          <w:sz w:val="18"/>
          <w:szCs w:val="18"/>
        </w:rPr>
        <w:t>e plädieren die Aus</w:t>
      </w:r>
      <w:r w:rsidRPr="00820073">
        <w:rPr>
          <w:rFonts w:ascii="Century Gothic" w:hAnsi="Century Gothic"/>
          <w:sz w:val="18"/>
          <w:szCs w:val="18"/>
        </w:rPr>
        <w:t xml:space="preserve">schüsse dafür, den Datenabgleich in automatisierter Form vorzunehmen und auch einen Zugriff der für das Düngerecht zuständigen Fachbehörden auf Daten sonstiger Behörden wie Bau- und Immissionsschutzbehörden zu ermöglichen. </w:t>
      </w:r>
    </w:p>
    <w:p w:rsidR="0092095D" w:rsidRPr="00820073" w:rsidRDefault="0092095D" w:rsidP="00820073">
      <w:pPr>
        <w:pStyle w:val="Default"/>
        <w:jc w:val="both"/>
        <w:rPr>
          <w:rFonts w:ascii="Century Gothic" w:hAnsi="Century Gothic"/>
          <w:sz w:val="18"/>
          <w:szCs w:val="18"/>
        </w:rPr>
      </w:pPr>
    </w:p>
    <w:p w:rsidR="00257F81" w:rsidRPr="00820073" w:rsidRDefault="00664D06" w:rsidP="00820073">
      <w:pPr>
        <w:ind w:right="120"/>
        <w:jc w:val="both"/>
        <w:rPr>
          <w:rFonts w:ascii="Century Gothic" w:hAnsi="Century Gothic"/>
          <w:sz w:val="18"/>
          <w:szCs w:val="18"/>
        </w:rPr>
      </w:pPr>
      <w:r w:rsidRPr="00820073">
        <w:rPr>
          <w:rFonts w:ascii="Century Gothic" w:hAnsi="Century Gothic"/>
          <w:sz w:val="18"/>
          <w:szCs w:val="18"/>
        </w:rPr>
        <w:t>Das im Gesetzentwurf angekündigte Nationale Aktionsprogramm zum Schutz von Gewässern vor Nitrat sollte laut Empfehlung zwingend mit den Ländern abgestimmt werden müssen. Auch für Gärreste aus Biogasanlagen wollen die Länder Regelungen zur Lagerkapazität erlassen können. Ferner sollten den Ausschüssen zufolge die Bundesländer ermächtigt werden, spezielle dünge-rechtliche Anforderungen an die Vermittler von Wirtschaftsdüng</w:t>
      </w:r>
      <w:r w:rsidR="0092095D">
        <w:rPr>
          <w:rFonts w:ascii="Century Gothic" w:hAnsi="Century Gothic"/>
          <w:sz w:val="18"/>
          <w:szCs w:val="18"/>
        </w:rPr>
        <w:t>ern zu erlassen. Geschaffen wer</w:t>
      </w:r>
      <w:r w:rsidRPr="00820073">
        <w:rPr>
          <w:rFonts w:ascii="Century Gothic" w:hAnsi="Century Gothic"/>
          <w:sz w:val="18"/>
          <w:szCs w:val="18"/>
        </w:rPr>
        <w:t>den sollte nach ihrem Willen zudem ein bundeseinheitlicher Rechtsrahmen für die Einführung eines freiwilligen Gütesicherungssystems bei der Verwendung von Wirtschaftsdüngern. Deutlich ausweiten wollen die Länder den Bußgeldrahmen. Anstatt mit bis zu 50 000 Euro sollen Verstöße gegen das Düngerecht laut Empfehlung künftig mit bis zu 2</w:t>
      </w:r>
      <w:r w:rsidR="0092095D">
        <w:rPr>
          <w:rFonts w:ascii="Century Gothic" w:hAnsi="Century Gothic"/>
          <w:sz w:val="18"/>
          <w:szCs w:val="18"/>
        </w:rPr>
        <w:t>00 000 Euro geahndet werden kön</w:t>
      </w:r>
      <w:r w:rsidRPr="00820073">
        <w:rPr>
          <w:rFonts w:ascii="Century Gothic" w:hAnsi="Century Gothic"/>
          <w:sz w:val="18"/>
          <w:szCs w:val="18"/>
        </w:rPr>
        <w:t>nen. Der Bundesrat wird in seiner heutigen Sitzung über die Ausschussempfehlung beraten.</w:t>
      </w:r>
    </w:p>
    <w:p w:rsidR="00664D06" w:rsidRDefault="00664D06" w:rsidP="00664D06">
      <w:pPr>
        <w:ind w:right="120"/>
        <w:jc w:val="both"/>
        <w:rPr>
          <w:rFonts w:ascii="Century Gothic" w:hAnsi="Century Gothic"/>
          <w:sz w:val="18"/>
          <w:szCs w:val="18"/>
        </w:rPr>
      </w:pPr>
    </w:p>
    <w:p w:rsidR="00664D06" w:rsidRPr="00664D06" w:rsidRDefault="00664D06" w:rsidP="00664D06">
      <w:pPr>
        <w:ind w:right="72"/>
        <w:jc w:val="both"/>
        <w:rPr>
          <w:rFonts w:ascii="Verdana" w:hAnsi="Verdana" w:cs="Arial"/>
          <w:b/>
          <w:sz w:val="18"/>
          <w:szCs w:val="18"/>
          <w:u w:val="single"/>
        </w:rPr>
      </w:pPr>
      <w:r w:rsidRPr="0092095D">
        <w:rPr>
          <w:rFonts w:ascii="Verdana" w:hAnsi="Verdana" w:cs="Arial"/>
          <w:b/>
          <w:sz w:val="18"/>
          <w:szCs w:val="18"/>
          <w:highlight w:val="lightGray"/>
          <w:u w:val="single"/>
        </w:rPr>
        <w:t>2.1.2. Entwurf der Düngeverordnung liegt jetzt bei der EU-Kommission</w:t>
      </w:r>
    </w:p>
    <w:p w:rsidR="00664D06" w:rsidRPr="00820073" w:rsidRDefault="00664D06" w:rsidP="00820073">
      <w:pPr>
        <w:pStyle w:val="Default"/>
        <w:jc w:val="both"/>
        <w:rPr>
          <w:rFonts w:ascii="Century Gothic" w:hAnsi="Century Gothic"/>
          <w:sz w:val="18"/>
          <w:szCs w:val="18"/>
        </w:rPr>
      </w:pPr>
      <w:r w:rsidRPr="00820073">
        <w:rPr>
          <w:rFonts w:ascii="Century Gothic" w:hAnsi="Century Gothic"/>
          <w:sz w:val="18"/>
          <w:szCs w:val="18"/>
        </w:rPr>
        <w:t>Das Bundeskabinett hat die Novelle zum Düngegesetz Mitte Dezember 2015 beschlossen. Damit einher geht auch eine neue Verordnung zur Neuordnung der guten fachlichen Praxi</w:t>
      </w:r>
      <w:r w:rsidR="0092095D">
        <w:rPr>
          <w:rFonts w:ascii="Century Gothic" w:hAnsi="Century Gothic"/>
          <w:sz w:val="18"/>
          <w:szCs w:val="18"/>
        </w:rPr>
        <w:t>s beim Düngen (Düngeverordnung-</w:t>
      </w:r>
      <w:proofErr w:type="spellStart"/>
      <w:r w:rsidRPr="00820073">
        <w:rPr>
          <w:rFonts w:ascii="Century Gothic" w:hAnsi="Century Gothic"/>
          <w:sz w:val="18"/>
          <w:szCs w:val="18"/>
        </w:rPr>
        <w:t>DüV</w:t>
      </w:r>
      <w:proofErr w:type="spellEnd"/>
      <w:r w:rsidRPr="00820073">
        <w:rPr>
          <w:rFonts w:ascii="Century Gothic" w:hAnsi="Century Gothic"/>
          <w:sz w:val="18"/>
          <w:szCs w:val="18"/>
        </w:rPr>
        <w:t>). Diese liegt jetzt im Entwurf der EU-Kommission zur Notifizierung vor. Parallel zur Prüfung auf EU-Ebene wird eine so genannte Stra</w:t>
      </w:r>
      <w:r w:rsidR="0092095D">
        <w:rPr>
          <w:rFonts w:ascii="Century Gothic" w:hAnsi="Century Gothic"/>
          <w:sz w:val="18"/>
          <w:szCs w:val="18"/>
        </w:rPr>
        <w:t>tegische Umweltprüfung vorgenom</w:t>
      </w:r>
      <w:r w:rsidRPr="00820073">
        <w:rPr>
          <w:rFonts w:ascii="Century Gothic" w:hAnsi="Century Gothic"/>
          <w:sz w:val="18"/>
          <w:szCs w:val="18"/>
        </w:rPr>
        <w:t>men. Gibt es von EU-Seite her keine Einwände mehr, muss die Öffentlichkeit – d. h. jeder Mitbürger in Deutschland – die Möglichkeit haben, die Verordnung in Form e</w:t>
      </w:r>
      <w:r w:rsidR="0092095D">
        <w:rPr>
          <w:rFonts w:ascii="Century Gothic" w:hAnsi="Century Gothic"/>
          <w:sz w:val="18"/>
          <w:szCs w:val="18"/>
        </w:rPr>
        <w:t>iner öffentlichen Auslage einse</w:t>
      </w:r>
      <w:r w:rsidRPr="00820073">
        <w:rPr>
          <w:rFonts w:ascii="Century Gothic" w:hAnsi="Century Gothic"/>
          <w:sz w:val="18"/>
          <w:szCs w:val="18"/>
        </w:rPr>
        <w:t>hen zu können. Im Anschluss daran wird die Verordnung dem</w:t>
      </w:r>
      <w:r w:rsidR="0092095D">
        <w:rPr>
          <w:rFonts w:ascii="Century Gothic" w:hAnsi="Century Gothic"/>
          <w:sz w:val="18"/>
          <w:szCs w:val="18"/>
        </w:rPr>
        <w:t xml:space="preserve"> Bundesrat zur Abstimmung vorge</w:t>
      </w:r>
      <w:r w:rsidRPr="00820073">
        <w:rPr>
          <w:rFonts w:ascii="Century Gothic" w:hAnsi="Century Gothic"/>
          <w:sz w:val="18"/>
          <w:szCs w:val="18"/>
        </w:rPr>
        <w:t xml:space="preserve">legt. </w:t>
      </w:r>
    </w:p>
    <w:p w:rsidR="00664D06" w:rsidRDefault="00664D06" w:rsidP="00820073">
      <w:pPr>
        <w:ind w:right="120"/>
        <w:jc w:val="both"/>
        <w:rPr>
          <w:rFonts w:ascii="Century Gothic" w:hAnsi="Century Gothic"/>
          <w:sz w:val="18"/>
          <w:szCs w:val="18"/>
        </w:rPr>
      </w:pPr>
      <w:r w:rsidRPr="00820073">
        <w:rPr>
          <w:rFonts w:ascii="Century Gothic" w:hAnsi="Century Gothic"/>
          <w:sz w:val="18"/>
          <w:szCs w:val="18"/>
        </w:rPr>
        <w:t xml:space="preserve">Nach BMEL-Angaben könnte das noch im 2. Quartal 2016 erfolgen. </w:t>
      </w:r>
      <w:r w:rsidRPr="00820073">
        <w:rPr>
          <w:rFonts w:ascii="Century Gothic" w:hAnsi="Century Gothic"/>
          <w:b/>
          <w:bCs/>
          <w:sz w:val="18"/>
          <w:szCs w:val="18"/>
        </w:rPr>
        <w:t xml:space="preserve">Wenn dieser Zeitplan eingehalten wird, dürfte die Düngeverordnung zur nächsten Ackerbau-Saison ab Sommer 2016 in Kraft treten. D. h.: Die Vorgaben aus der neuen </w:t>
      </w:r>
      <w:proofErr w:type="spellStart"/>
      <w:r w:rsidRPr="00820073">
        <w:rPr>
          <w:rFonts w:ascii="Century Gothic" w:hAnsi="Century Gothic"/>
          <w:b/>
          <w:bCs/>
          <w:sz w:val="18"/>
          <w:szCs w:val="18"/>
        </w:rPr>
        <w:t>DüV</w:t>
      </w:r>
      <w:proofErr w:type="spellEnd"/>
      <w:r w:rsidRPr="00820073">
        <w:rPr>
          <w:rFonts w:ascii="Century Gothic" w:hAnsi="Century Gothic"/>
          <w:b/>
          <w:bCs/>
          <w:sz w:val="18"/>
          <w:szCs w:val="18"/>
        </w:rPr>
        <w:t xml:space="preserve"> gelten dann bereits zur Herbstaussaat 2016. </w:t>
      </w:r>
      <w:r w:rsidRPr="00820073">
        <w:rPr>
          <w:rFonts w:ascii="Century Gothic" w:hAnsi="Century Gothic"/>
          <w:sz w:val="18"/>
          <w:szCs w:val="18"/>
        </w:rPr>
        <w:t>Gänzlich neu sind die sogenannten Länderöffnungsklauseln. Immer dann, wenn es für eine Ausnahme einer Genehmigung durch eine Landesbehörde beda</w:t>
      </w:r>
      <w:r w:rsidR="0092095D">
        <w:rPr>
          <w:rFonts w:ascii="Century Gothic" w:hAnsi="Century Gothic"/>
          <w:sz w:val="18"/>
          <w:szCs w:val="18"/>
        </w:rPr>
        <w:t>rf, besteht Ermessen für die zu</w:t>
      </w:r>
      <w:r w:rsidRPr="00820073">
        <w:rPr>
          <w:rFonts w:ascii="Century Gothic" w:hAnsi="Century Gothic"/>
          <w:sz w:val="18"/>
          <w:szCs w:val="18"/>
        </w:rPr>
        <w:t>ständige Behörde. Die aus unserer Sicht wesentlichen Änderungen haben wir in einer Übersicht zusammengefasst.</w:t>
      </w:r>
    </w:p>
    <w:p w:rsidR="0092095D" w:rsidRPr="00820073" w:rsidRDefault="0092095D" w:rsidP="00820073">
      <w:pPr>
        <w:ind w:right="120"/>
        <w:jc w:val="both"/>
        <w:rPr>
          <w:rFonts w:ascii="Century Gothic" w:hAnsi="Century Gothic"/>
          <w:sz w:val="18"/>
          <w:szCs w:val="18"/>
        </w:rPr>
      </w:pPr>
    </w:p>
    <w:p w:rsidR="00664D06" w:rsidRPr="00820073" w:rsidRDefault="00664D06" w:rsidP="00820073">
      <w:pPr>
        <w:ind w:right="120"/>
        <w:jc w:val="both"/>
        <w:rPr>
          <w:rFonts w:ascii="Century Gothic" w:hAnsi="Century Gothic"/>
          <w:sz w:val="18"/>
          <w:szCs w:val="18"/>
        </w:rPr>
      </w:pPr>
      <w:r w:rsidRPr="00820073">
        <w:rPr>
          <w:rFonts w:ascii="Century Gothic" w:hAnsi="Century Gothic"/>
          <w:sz w:val="18"/>
          <w:szCs w:val="18"/>
        </w:rPr>
        <w:t xml:space="preserve">Den </w:t>
      </w:r>
      <w:r w:rsidRPr="00820073">
        <w:rPr>
          <w:rFonts w:ascii="Century Gothic" w:hAnsi="Century Gothic"/>
          <w:sz w:val="18"/>
          <w:szCs w:val="18"/>
          <w:u w:val="single"/>
        </w:rPr>
        <w:t>Überblick Düngeverordnung</w:t>
      </w:r>
      <w:r w:rsidRPr="00820073">
        <w:rPr>
          <w:rFonts w:ascii="Century Gothic" w:hAnsi="Century Gothic"/>
          <w:sz w:val="18"/>
          <w:szCs w:val="18"/>
        </w:rPr>
        <w:t xml:space="preserve"> der BVA finden Sie in den Anlagen.</w:t>
      </w:r>
    </w:p>
    <w:p w:rsidR="00664D06" w:rsidRDefault="00664D06" w:rsidP="00664D06">
      <w:pPr>
        <w:ind w:right="120"/>
        <w:jc w:val="both"/>
        <w:rPr>
          <w:rFonts w:ascii="Century Gothic" w:hAnsi="Century Gothic"/>
          <w:sz w:val="18"/>
          <w:szCs w:val="18"/>
        </w:rPr>
      </w:pPr>
    </w:p>
    <w:p w:rsidR="0092095D" w:rsidRDefault="0092095D" w:rsidP="00664D06">
      <w:pPr>
        <w:ind w:right="120"/>
        <w:jc w:val="both"/>
        <w:rPr>
          <w:rFonts w:ascii="Century Gothic" w:hAnsi="Century Gothic"/>
          <w:sz w:val="18"/>
          <w:szCs w:val="18"/>
        </w:rPr>
      </w:pPr>
    </w:p>
    <w:p w:rsidR="00664D06" w:rsidRPr="00664D06" w:rsidRDefault="00664D06" w:rsidP="00664D06">
      <w:pPr>
        <w:ind w:right="72"/>
        <w:jc w:val="both"/>
        <w:rPr>
          <w:rFonts w:ascii="Verdana" w:hAnsi="Verdana" w:cs="Arial"/>
          <w:b/>
          <w:sz w:val="18"/>
          <w:szCs w:val="18"/>
          <w:u w:val="single"/>
        </w:rPr>
      </w:pPr>
      <w:r w:rsidRPr="0092095D">
        <w:rPr>
          <w:rFonts w:ascii="Verdana" w:hAnsi="Verdana" w:cs="Arial"/>
          <w:b/>
          <w:sz w:val="18"/>
          <w:szCs w:val="18"/>
          <w:highlight w:val="lightGray"/>
          <w:u w:val="single"/>
        </w:rPr>
        <w:lastRenderedPageBreak/>
        <w:t>2.1.3. Bundesrat soll Düngerecht und Anlagenverordnung im Paket beschließen</w:t>
      </w:r>
    </w:p>
    <w:p w:rsidR="00664D06" w:rsidRPr="00820073" w:rsidRDefault="00664D06" w:rsidP="00820073">
      <w:pPr>
        <w:pStyle w:val="Default"/>
        <w:jc w:val="both"/>
        <w:rPr>
          <w:rFonts w:ascii="Century Gothic" w:hAnsi="Century Gothic"/>
          <w:sz w:val="18"/>
          <w:szCs w:val="18"/>
        </w:rPr>
      </w:pPr>
      <w:r w:rsidRPr="00820073">
        <w:rPr>
          <w:rFonts w:ascii="Century Gothic" w:hAnsi="Century Gothic"/>
          <w:sz w:val="18"/>
          <w:szCs w:val="18"/>
        </w:rPr>
        <w:t>Mit großer Mehrheit sprach sich der Agrarausschuss der Länderkammer letzte Woche für die von der Bundesregierung angestrebte Paketlösung aus. Demnach s</w:t>
      </w:r>
      <w:r w:rsidR="0092095D">
        <w:rPr>
          <w:rFonts w:ascii="Century Gothic" w:hAnsi="Century Gothic"/>
          <w:sz w:val="18"/>
          <w:szCs w:val="18"/>
        </w:rPr>
        <w:t>oll die Novelle der Düngeverord</w:t>
      </w:r>
      <w:r w:rsidRPr="00820073">
        <w:rPr>
          <w:rFonts w:ascii="Century Gothic" w:hAnsi="Century Gothic"/>
          <w:sz w:val="18"/>
          <w:szCs w:val="18"/>
        </w:rPr>
        <w:t>nung und die dafür erforderliche Änderung des Düngegesetzes gemeinsam mit der Verordnung über Anlagen zum Umgang mit wassergefährdenden Stoffen (</w:t>
      </w:r>
      <w:proofErr w:type="spellStart"/>
      <w:r w:rsidRPr="00820073">
        <w:rPr>
          <w:rFonts w:ascii="Century Gothic" w:hAnsi="Century Gothic"/>
          <w:sz w:val="18"/>
          <w:szCs w:val="18"/>
        </w:rPr>
        <w:t>AwSV</w:t>
      </w:r>
      <w:proofErr w:type="spellEnd"/>
      <w:r w:rsidRPr="00820073">
        <w:rPr>
          <w:rFonts w:ascii="Century Gothic" w:hAnsi="Century Gothic"/>
          <w:sz w:val="18"/>
          <w:szCs w:val="18"/>
        </w:rPr>
        <w:t xml:space="preserve">) beschlossen werden. Zur Begründung hieß es, dass auf diese Weise die Kohärenz mit der Neuregelung des Düngerechts zu gewährleisten ist. </w:t>
      </w:r>
    </w:p>
    <w:p w:rsidR="00664D06" w:rsidRPr="00820073" w:rsidRDefault="00664D06" w:rsidP="00820073">
      <w:pPr>
        <w:ind w:right="120"/>
        <w:jc w:val="both"/>
        <w:rPr>
          <w:rFonts w:ascii="Century Gothic" w:hAnsi="Century Gothic"/>
          <w:sz w:val="18"/>
          <w:szCs w:val="18"/>
        </w:rPr>
      </w:pPr>
      <w:r w:rsidRPr="00820073">
        <w:rPr>
          <w:rFonts w:ascii="Century Gothic" w:hAnsi="Century Gothic"/>
          <w:sz w:val="18"/>
          <w:szCs w:val="18"/>
        </w:rPr>
        <w:t>Bei der sogenannten Anlagenverordnung geht es um den Bes</w:t>
      </w:r>
      <w:r w:rsidR="0092095D">
        <w:rPr>
          <w:rFonts w:ascii="Century Gothic" w:hAnsi="Century Gothic"/>
          <w:sz w:val="18"/>
          <w:szCs w:val="18"/>
        </w:rPr>
        <w:t>tandsschutz für Gruben zur Lage</w:t>
      </w:r>
      <w:r w:rsidRPr="00820073">
        <w:rPr>
          <w:rFonts w:ascii="Century Gothic" w:hAnsi="Century Gothic"/>
          <w:sz w:val="18"/>
          <w:szCs w:val="18"/>
        </w:rPr>
        <w:t>rung von Jauche, Gülle und Sickersäften (JGS-Anlagen) angesi</w:t>
      </w:r>
      <w:r w:rsidR="0092095D">
        <w:rPr>
          <w:rFonts w:ascii="Century Gothic" w:hAnsi="Century Gothic"/>
          <w:sz w:val="18"/>
          <w:szCs w:val="18"/>
        </w:rPr>
        <w:t>chts einer Verschärfung der Vor</w:t>
      </w:r>
      <w:r w:rsidRPr="00820073">
        <w:rPr>
          <w:rFonts w:ascii="Century Gothic" w:hAnsi="Century Gothic"/>
          <w:sz w:val="18"/>
          <w:szCs w:val="18"/>
        </w:rPr>
        <w:t>gaben für die Lagerung wassergefährdender Stoffe. Derzeit erarbeiten Bayern und Rheinland-Pfalz dazu einen Kompromissvorschlag. Das Gesamtpaket so</w:t>
      </w:r>
      <w:r w:rsidR="0092095D">
        <w:rPr>
          <w:rFonts w:ascii="Century Gothic" w:hAnsi="Century Gothic"/>
          <w:sz w:val="18"/>
          <w:szCs w:val="18"/>
        </w:rPr>
        <w:t>ll vor der Sommerpause beschlos</w:t>
      </w:r>
      <w:r w:rsidRPr="00820073">
        <w:rPr>
          <w:rFonts w:ascii="Century Gothic" w:hAnsi="Century Gothic"/>
          <w:sz w:val="18"/>
          <w:szCs w:val="18"/>
        </w:rPr>
        <w:t>sen werden.</w:t>
      </w:r>
    </w:p>
    <w:p w:rsidR="00664D06" w:rsidRDefault="00664D06" w:rsidP="00664D06">
      <w:pPr>
        <w:ind w:right="120"/>
        <w:jc w:val="both"/>
        <w:rPr>
          <w:rFonts w:ascii="Century Gothic" w:hAnsi="Century Gothic"/>
          <w:sz w:val="18"/>
          <w:szCs w:val="18"/>
        </w:rPr>
      </w:pPr>
    </w:p>
    <w:p w:rsidR="00664D06" w:rsidRPr="00664D06" w:rsidRDefault="00664D06" w:rsidP="00664D06">
      <w:pPr>
        <w:ind w:right="72"/>
        <w:jc w:val="both"/>
        <w:rPr>
          <w:rFonts w:ascii="Verdana" w:hAnsi="Verdana" w:cs="Arial"/>
          <w:b/>
          <w:sz w:val="18"/>
          <w:szCs w:val="18"/>
          <w:u w:val="single"/>
        </w:rPr>
      </w:pPr>
      <w:r w:rsidRPr="0092095D">
        <w:rPr>
          <w:rFonts w:ascii="Verdana" w:hAnsi="Verdana" w:cs="Arial"/>
          <w:b/>
          <w:sz w:val="18"/>
          <w:szCs w:val="18"/>
          <w:highlight w:val="lightGray"/>
          <w:u w:val="single"/>
        </w:rPr>
        <w:t>2.1.4. Düngerbranche: YARA warnt vor hoher Belastung und geringeren Preisen</w:t>
      </w:r>
    </w:p>
    <w:p w:rsidR="00664D06" w:rsidRDefault="00664D06" w:rsidP="00664D06">
      <w:pPr>
        <w:ind w:right="120"/>
        <w:jc w:val="both"/>
        <w:rPr>
          <w:rFonts w:ascii="Century Gothic" w:hAnsi="Century Gothic"/>
          <w:sz w:val="18"/>
          <w:szCs w:val="18"/>
        </w:rPr>
      </w:pPr>
      <w:r>
        <w:rPr>
          <w:rFonts w:ascii="Century Gothic" w:hAnsi="Century Gothic"/>
          <w:sz w:val="18"/>
          <w:szCs w:val="18"/>
        </w:rPr>
        <w:t xml:space="preserve">Der norwegische Düngemittelhersteller </w:t>
      </w:r>
      <w:proofErr w:type="spellStart"/>
      <w:r>
        <w:rPr>
          <w:rFonts w:ascii="Century Gothic" w:hAnsi="Century Gothic"/>
          <w:sz w:val="18"/>
          <w:szCs w:val="18"/>
        </w:rPr>
        <w:t>Yara</w:t>
      </w:r>
      <w:proofErr w:type="spellEnd"/>
      <w:r>
        <w:rPr>
          <w:rFonts w:ascii="Century Gothic" w:hAnsi="Century Gothic"/>
          <w:sz w:val="18"/>
          <w:szCs w:val="18"/>
        </w:rPr>
        <w:t xml:space="preserve"> rechnet für das vierte Quartal des abgelaufenen Gesamtjahres mit erheblichen Belastungen. Das Unternehmen müsse etwa 1,15 Milliarden norwegische Kronen oder umgerechnet rund 122 Millionen Euro auf das französische Düngemittelwerk in </w:t>
      </w:r>
      <w:proofErr w:type="spellStart"/>
      <w:r>
        <w:rPr>
          <w:rFonts w:ascii="Century Gothic" w:hAnsi="Century Gothic"/>
          <w:sz w:val="18"/>
          <w:szCs w:val="18"/>
        </w:rPr>
        <w:t>Monitoir</w:t>
      </w:r>
      <w:proofErr w:type="spellEnd"/>
      <w:r>
        <w:rPr>
          <w:rFonts w:ascii="Century Gothic" w:hAnsi="Century Gothic"/>
          <w:sz w:val="18"/>
          <w:szCs w:val="18"/>
        </w:rPr>
        <w:t xml:space="preserve"> abschreiben. Zudem belasteten geringere Verkäufe und Produktionsvolumen, warnte der Rivale der Kasseler K+S.</w:t>
      </w:r>
    </w:p>
    <w:p w:rsidR="00664D06" w:rsidRDefault="0091071C" w:rsidP="00664D06">
      <w:pPr>
        <w:ind w:right="120"/>
        <w:jc w:val="both"/>
        <w:rPr>
          <w:rFonts w:ascii="Century Gothic" w:hAnsi="Century Gothic"/>
          <w:sz w:val="18"/>
          <w:szCs w:val="18"/>
        </w:rPr>
      </w:pPr>
      <w:r>
        <w:rPr>
          <w:rFonts w:ascii="Century Gothic" w:hAnsi="Century Gothic"/>
          <w:sz w:val="18"/>
          <w:szCs w:val="18"/>
        </w:rPr>
        <w:t xml:space="preserve">In Frankreich bereiten der </w:t>
      </w:r>
      <w:proofErr w:type="spellStart"/>
      <w:r>
        <w:rPr>
          <w:rFonts w:ascii="Century Gothic" w:hAnsi="Century Gothic"/>
          <w:sz w:val="18"/>
          <w:szCs w:val="18"/>
        </w:rPr>
        <w:t>Yara</w:t>
      </w:r>
      <w:proofErr w:type="spellEnd"/>
      <w:r>
        <w:rPr>
          <w:rFonts w:ascii="Century Gothic" w:hAnsi="Century Gothic"/>
          <w:sz w:val="18"/>
          <w:szCs w:val="18"/>
        </w:rPr>
        <w:t xml:space="preserve"> International geringere Getreidepreise und eine sinkende Nachfrage nach Phosphat und Kali Schwierigkeiten. Zudem habe es erhebliche Produktionsausfälle beispielsweise bei Ammoniak gegeben.</w:t>
      </w:r>
    </w:p>
    <w:p w:rsidR="0091071C" w:rsidRDefault="0091071C" w:rsidP="00664D06">
      <w:pPr>
        <w:ind w:right="120"/>
        <w:jc w:val="both"/>
        <w:rPr>
          <w:rFonts w:ascii="Century Gothic" w:hAnsi="Century Gothic"/>
          <w:sz w:val="18"/>
          <w:szCs w:val="18"/>
        </w:rPr>
      </w:pPr>
      <w:r>
        <w:rPr>
          <w:rFonts w:ascii="Century Gothic" w:hAnsi="Century Gothic"/>
          <w:sz w:val="18"/>
          <w:szCs w:val="18"/>
        </w:rPr>
        <w:t xml:space="preserve">Anleger reagieren verunsichert auf die Neuigkeiten, die Aktie von </w:t>
      </w:r>
      <w:proofErr w:type="spellStart"/>
      <w:r>
        <w:rPr>
          <w:rFonts w:ascii="Century Gothic" w:hAnsi="Century Gothic"/>
          <w:sz w:val="18"/>
          <w:szCs w:val="18"/>
        </w:rPr>
        <w:t>Yara</w:t>
      </w:r>
      <w:proofErr w:type="spellEnd"/>
      <w:r>
        <w:rPr>
          <w:rFonts w:ascii="Century Gothic" w:hAnsi="Century Gothic"/>
          <w:sz w:val="18"/>
          <w:szCs w:val="18"/>
        </w:rPr>
        <w:t xml:space="preserve"> verliert zum Börsenstart gut 4 Prozent an Wert. </w:t>
      </w:r>
      <w:proofErr w:type="spellStart"/>
      <w:r>
        <w:rPr>
          <w:rFonts w:ascii="Century Gothic" w:hAnsi="Century Gothic"/>
          <w:sz w:val="18"/>
          <w:szCs w:val="18"/>
        </w:rPr>
        <w:t>Yara</w:t>
      </w:r>
      <w:proofErr w:type="spellEnd"/>
      <w:r>
        <w:rPr>
          <w:rFonts w:ascii="Century Gothic" w:hAnsi="Century Gothic"/>
          <w:sz w:val="18"/>
          <w:szCs w:val="18"/>
        </w:rPr>
        <w:t xml:space="preserve"> will am 11. Februar die Geschäftszahlen für das vergangene Jahr vorlegen. Das operative Ergebnis im Schlussquartal sieht das Unternehmen bei 0,7 Milliarden Kronen und das EBITDA bei rund 3,5 Milliarden Kronen.</w:t>
      </w:r>
    </w:p>
    <w:p w:rsidR="0091071C" w:rsidRDefault="0091071C" w:rsidP="00664D06">
      <w:pPr>
        <w:ind w:right="120"/>
        <w:jc w:val="both"/>
        <w:rPr>
          <w:rFonts w:ascii="Century Gothic" w:hAnsi="Century Gothic"/>
          <w:sz w:val="18"/>
          <w:szCs w:val="18"/>
        </w:rPr>
      </w:pPr>
    </w:p>
    <w:p w:rsidR="00664D06" w:rsidRDefault="00664D06" w:rsidP="00664D06">
      <w:pPr>
        <w:ind w:right="120"/>
        <w:jc w:val="both"/>
        <w:rPr>
          <w:rFonts w:ascii="Century Gothic" w:hAnsi="Century Gothic"/>
          <w:sz w:val="18"/>
          <w:szCs w:val="18"/>
        </w:rPr>
      </w:pPr>
    </w:p>
    <w:p w:rsidR="0092095D" w:rsidRDefault="0092095D" w:rsidP="00664D06">
      <w:pPr>
        <w:ind w:right="120"/>
        <w:jc w:val="both"/>
        <w:rPr>
          <w:rFonts w:ascii="Century Gothic" w:hAnsi="Century Gothic"/>
          <w:sz w:val="18"/>
          <w:szCs w:val="18"/>
        </w:rPr>
      </w:pPr>
    </w:p>
    <w:p w:rsidR="00A11337" w:rsidRDefault="00A11337" w:rsidP="005020CC">
      <w:pPr>
        <w:ind w:right="72"/>
        <w:jc w:val="both"/>
        <w:rPr>
          <w:rFonts w:ascii="Verdana" w:hAnsi="Verdana" w:cs="Arial"/>
          <w:b/>
          <w:sz w:val="18"/>
          <w:szCs w:val="18"/>
          <w:highlight w:val="lightGray"/>
          <w:u w:val="single"/>
        </w:rPr>
      </w:pPr>
      <w:r>
        <w:rPr>
          <w:rFonts w:ascii="Verdana" w:hAnsi="Verdana" w:cs="Arial"/>
          <w:b/>
          <w:sz w:val="18"/>
          <w:szCs w:val="18"/>
          <w:highlight w:val="lightGray"/>
          <w:u w:val="single"/>
        </w:rPr>
        <w:t xml:space="preserve">2.2. </w:t>
      </w:r>
      <w:r w:rsidR="0091071C">
        <w:rPr>
          <w:rFonts w:ascii="Verdana" w:hAnsi="Verdana" w:cs="Arial"/>
          <w:b/>
          <w:sz w:val="18"/>
          <w:szCs w:val="18"/>
          <w:highlight w:val="lightGray"/>
          <w:u w:val="single"/>
        </w:rPr>
        <w:t>Pflanzenschutz</w:t>
      </w:r>
    </w:p>
    <w:p w:rsidR="0091071C" w:rsidRPr="00A46E05" w:rsidRDefault="0091071C" w:rsidP="005020CC">
      <w:pPr>
        <w:ind w:right="72"/>
        <w:jc w:val="both"/>
        <w:rPr>
          <w:rFonts w:ascii="Verdana" w:hAnsi="Verdana" w:cs="Arial"/>
          <w:b/>
          <w:sz w:val="18"/>
          <w:szCs w:val="18"/>
          <w:highlight w:val="lightGray"/>
          <w:u w:val="single"/>
        </w:rPr>
      </w:pPr>
      <w:r>
        <w:rPr>
          <w:rFonts w:ascii="Verdana" w:hAnsi="Verdana" w:cs="Arial"/>
          <w:b/>
          <w:sz w:val="18"/>
          <w:szCs w:val="18"/>
          <w:highlight w:val="lightGray"/>
          <w:u w:val="single"/>
        </w:rPr>
        <w:t>2.2.1. Bundesregierung plant derzeit keine Abgabe auf Pflanzenschutzmittel</w:t>
      </w:r>
    </w:p>
    <w:p w:rsidR="00257F81" w:rsidRPr="00820073" w:rsidRDefault="0091071C" w:rsidP="005020CC">
      <w:pPr>
        <w:ind w:right="120"/>
        <w:jc w:val="both"/>
        <w:rPr>
          <w:rFonts w:ascii="Century Gothic" w:hAnsi="Century Gothic"/>
          <w:sz w:val="18"/>
          <w:szCs w:val="18"/>
        </w:rPr>
      </w:pPr>
      <w:r w:rsidRPr="00820073">
        <w:rPr>
          <w:rFonts w:ascii="Century Gothic" w:hAnsi="Century Gothic"/>
          <w:sz w:val="18"/>
          <w:szCs w:val="18"/>
        </w:rPr>
        <w:t>In der Bundesregierung gibt es derzeit keine Pläne zur Einführung einer Abgabe auf Pflanzen-schutzmittel. Das hat das Bundeslandwirtschaftsministerium (BME</w:t>
      </w:r>
      <w:r w:rsidR="0092095D">
        <w:rPr>
          <w:rFonts w:ascii="Century Gothic" w:hAnsi="Century Gothic"/>
          <w:sz w:val="18"/>
          <w:szCs w:val="18"/>
        </w:rPr>
        <w:t>L) in der Antwort auf eine Klei</w:t>
      </w:r>
      <w:r w:rsidRPr="00820073">
        <w:rPr>
          <w:rFonts w:ascii="Century Gothic" w:hAnsi="Century Gothic"/>
          <w:sz w:val="18"/>
          <w:szCs w:val="18"/>
        </w:rPr>
        <w:t>ne Anfrage der Fraktion Die Linke erklärt. Die vom Helmholtz-Zentrum für Umweltforschung (UFZ) voriges Jahr geäußerte Empfehlung zur Einführung einer solchen Abgabe sei der Bundes-regierung zwar bekannt. Eine eingehende Prüfung habe aber „noch nicht stattgefunden“.</w:t>
      </w:r>
    </w:p>
    <w:p w:rsidR="0091071C" w:rsidRDefault="0091071C" w:rsidP="005020CC">
      <w:pPr>
        <w:ind w:right="120"/>
        <w:jc w:val="both"/>
        <w:rPr>
          <w:sz w:val="21"/>
          <w:szCs w:val="21"/>
        </w:rPr>
      </w:pPr>
    </w:p>
    <w:p w:rsidR="00820073" w:rsidRDefault="00820073" w:rsidP="005020CC">
      <w:pPr>
        <w:ind w:right="120"/>
        <w:jc w:val="both"/>
        <w:rPr>
          <w:sz w:val="21"/>
          <w:szCs w:val="21"/>
        </w:rPr>
      </w:pPr>
    </w:p>
    <w:p w:rsidR="00820073" w:rsidRDefault="00820073" w:rsidP="005020CC">
      <w:pPr>
        <w:ind w:right="120"/>
        <w:jc w:val="both"/>
        <w:rPr>
          <w:sz w:val="21"/>
          <w:szCs w:val="21"/>
        </w:rPr>
      </w:pPr>
    </w:p>
    <w:p w:rsidR="0092095D" w:rsidRDefault="0092095D" w:rsidP="005020CC">
      <w:pPr>
        <w:ind w:right="120"/>
        <w:jc w:val="both"/>
        <w:rPr>
          <w:sz w:val="21"/>
          <w:szCs w:val="21"/>
        </w:rPr>
      </w:pPr>
    </w:p>
    <w:p w:rsidR="0092095D" w:rsidRDefault="0092095D" w:rsidP="005020CC">
      <w:pPr>
        <w:ind w:right="120"/>
        <w:jc w:val="both"/>
        <w:rPr>
          <w:sz w:val="21"/>
          <w:szCs w:val="21"/>
        </w:rPr>
      </w:pPr>
    </w:p>
    <w:p w:rsidR="0092095D" w:rsidRDefault="0092095D" w:rsidP="005020CC">
      <w:pPr>
        <w:ind w:right="120"/>
        <w:jc w:val="both"/>
        <w:rPr>
          <w:sz w:val="21"/>
          <w:szCs w:val="21"/>
        </w:rPr>
      </w:pPr>
    </w:p>
    <w:p w:rsidR="0092095D" w:rsidRDefault="0092095D" w:rsidP="005020CC">
      <w:pPr>
        <w:ind w:right="120"/>
        <w:jc w:val="both"/>
        <w:rPr>
          <w:sz w:val="21"/>
          <w:szCs w:val="21"/>
        </w:rPr>
      </w:pPr>
    </w:p>
    <w:p w:rsidR="0091071C" w:rsidRPr="0091071C" w:rsidRDefault="0091071C" w:rsidP="005020CC">
      <w:pPr>
        <w:ind w:right="120"/>
        <w:jc w:val="both"/>
        <w:rPr>
          <w:rFonts w:ascii="Century Gothic" w:hAnsi="Century Gothic"/>
          <w:sz w:val="16"/>
          <w:szCs w:val="16"/>
        </w:rPr>
      </w:pPr>
      <w:r w:rsidRPr="0091071C">
        <w:rPr>
          <w:rFonts w:ascii="Century Gothic" w:hAnsi="Century Gothic"/>
          <w:b/>
          <w:bCs/>
          <w:sz w:val="16"/>
          <w:szCs w:val="16"/>
        </w:rPr>
        <w:lastRenderedPageBreak/>
        <w:t>Inlandsabsatz von Pflanzenschutzmitteln (Zubereitungen) 2014</w:t>
      </w:r>
    </w:p>
    <w:p w:rsidR="0091071C" w:rsidRDefault="0091071C" w:rsidP="005020CC">
      <w:pPr>
        <w:ind w:right="120"/>
        <w:jc w:val="both"/>
        <w:rPr>
          <w:sz w:val="21"/>
          <w:szCs w:val="21"/>
        </w:rPr>
      </w:pPr>
      <w:r>
        <w:rPr>
          <w:noProof/>
          <w:sz w:val="21"/>
          <w:szCs w:val="21"/>
        </w:rPr>
        <w:drawing>
          <wp:inline distT="0" distB="0" distL="0" distR="0">
            <wp:extent cx="3368175" cy="1711757"/>
            <wp:effectExtent l="0" t="0" r="381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lum contrast="35000"/>
                      <a:extLst>
                        <a:ext uri="{28A0092B-C50C-407E-A947-70E740481C1C}">
                          <a14:useLocalDpi xmlns:a14="http://schemas.microsoft.com/office/drawing/2010/main" val="0"/>
                        </a:ext>
                      </a:extLst>
                    </a:blip>
                    <a:srcRect/>
                    <a:stretch>
                      <a:fillRect/>
                    </a:stretch>
                  </pic:blipFill>
                  <pic:spPr bwMode="auto">
                    <a:xfrm>
                      <a:off x="0" y="0"/>
                      <a:ext cx="3366660" cy="1710987"/>
                    </a:xfrm>
                    <a:prstGeom prst="rect">
                      <a:avLst/>
                    </a:prstGeom>
                    <a:noFill/>
                    <a:ln>
                      <a:noFill/>
                    </a:ln>
                  </pic:spPr>
                </pic:pic>
              </a:graphicData>
            </a:graphic>
          </wp:inline>
        </w:drawing>
      </w:r>
    </w:p>
    <w:p w:rsidR="0091071C" w:rsidRDefault="0091071C" w:rsidP="005020CC">
      <w:pPr>
        <w:ind w:right="120"/>
        <w:jc w:val="both"/>
        <w:rPr>
          <w:rFonts w:ascii="Century Gothic" w:hAnsi="Century Gothic"/>
          <w:sz w:val="18"/>
          <w:szCs w:val="18"/>
        </w:rPr>
      </w:pPr>
    </w:p>
    <w:p w:rsidR="0091071C" w:rsidRDefault="0091071C" w:rsidP="0091071C">
      <w:pPr>
        <w:autoSpaceDE w:val="0"/>
        <w:autoSpaceDN w:val="0"/>
        <w:adjustRightInd w:val="0"/>
        <w:rPr>
          <w:rFonts w:ascii="Calibri" w:hAnsi="Calibri" w:cs="Calibri"/>
          <w:color w:val="000000"/>
          <w:sz w:val="16"/>
          <w:szCs w:val="16"/>
        </w:rPr>
      </w:pPr>
      <w:r w:rsidRPr="0091071C">
        <w:rPr>
          <w:rFonts w:ascii="Calibri" w:hAnsi="Calibri" w:cs="Calibri"/>
          <w:color w:val="000000"/>
          <w:sz w:val="16"/>
          <w:szCs w:val="16"/>
        </w:rPr>
        <w:t xml:space="preserve">Quelle: Meldungen gemäß § 64 Pflanzenschutzgesetz für das Jahr 2014 beim Bundesamt für Verbraucherschutz und Lebensmittelsicherheit </w:t>
      </w:r>
    </w:p>
    <w:p w:rsidR="0091071C" w:rsidRPr="0091071C" w:rsidRDefault="0091071C" w:rsidP="0091071C">
      <w:pPr>
        <w:autoSpaceDE w:val="0"/>
        <w:autoSpaceDN w:val="0"/>
        <w:adjustRightInd w:val="0"/>
        <w:rPr>
          <w:rFonts w:ascii="Calibri" w:hAnsi="Calibri" w:cs="Calibri"/>
          <w:color w:val="000000"/>
          <w:sz w:val="16"/>
          <w:szCs w:val="16"/>
        </w:rPr>
      </w:pPr>
    </w:p>
    <w:p w:rsidR="0091071C" w:rsidRPr="00820073" w:rsidRDefault="0091071C" w:rsidP="00820073">
      <w:pPr>
        <w:autoSpaceDE w:val="0"/>
        <w:autoSpaceDN w:val="0"/>
        <w:adjustRightInd w:val="0"/>
        <w:jc w:val="both"/>
        <w:rPr>
          <w:rFonts w:ascii="Century Gothic" w:hAnsi="Century Gothic" w:cs="Arial"/>
          <w:color w:val="000000"/>
          <w:sz w:val="18"/>
          <w:szCs w:val="18"/>
        </w:rPr>
      </w:pPr>
      <w:r w:rsidRPr="00820073">
        <w:rPr>
          <w:rFonts w:ascii="Century Gothic" w:hAnsi="Century Gothic" w:cs="Arial"/>
          <w:color w:val="000000"/>
          <w:sz w:val="18"/>
          <w:szCs w:val="18"/>
        </w:rPr>
        <w:t xml:space="preserve">Weiter hieß es von Seiten des BMEL, dass gegenwärtig keine fundierte Aussage zu den </w:t>
      </w:r>
      <w:r w:rsidR="0092095D">
        <w:rPr>
          <w:rFonts w:ascii="Century Gothic" w:hAnsi="Century Gothic" w:cs="Arial"/>
          <w:color w:val="000000"/>
          <w:sz w:val="18"/>
          <w:szCs w:val="18"/>
        </w:rPr>
        <w:t>anfal</w:t>
      </w:r>
      <w:r w:rsidRPr="00820073">
        <w:rPr>
          <w:rFonts w:ascii="Century Gothic" w:hAnsi="Century Gothic" w:cs="Arial"/>
          <w:color w:val="000000"/>
          <w:sz w:val="18"/>
          <w:szCs w:val="18"/>
        </w:rPr>
        <w:t>lenden Kosten für die Lebensmittel- und Umweltüberwachung im</w:t>
      </w:r>
      <w:r w:rsidR="0092095D">
        <w:rPr>
          <w:rFonts w:ascii="Century Gothic" w:hAnsi="Century Gothic" w:cs="Arial"/>
          <w:color w:val="000000"/>
          <w:sz w:val="18"/>
          <w:szCs w:val="18"/>
        </w:rPr>
        <w:t xml:space="preserve"> Hinblick auf Pflanzenschutzmit</w:t>
      </w:r>
      <w:r w:rsidRPr="00820073">
        <w:rPr>
          <w:rFonts w:ascii="Century Gothic" w:hAnsi="Century Gothic" w:cs="Arial"/>
          <w:color w:val="000000"/>
          <w:sz w:val="18"/>
          <w:szCs w:val="18"/>
        </w:rPr>
        <w:t>tel getroffen werden kann. Um einen Überblick über die Kosten</w:t>
      </w:r>
      <w:r w:rsidR="0092095D">
        <w:rPr>
          <w:rFonts w:ascii="Century Gothic" w:hAnsi="Century Gothic" w:cs="Arial"/>
          <w:color w:val="000000"/>
          <w:sz w:val="18"/>
          <w:szCs w:val="18"/>
        </w:rPr>
        <w:t xml:space="preserve"> für die Aufreinigung des Trink</w:t>
      </w:r>
      <w:r w:rsidRPr="00820073">
        <w:rPr>
          <w:rFonts w:ascii="Century Gothic" w:hAnsi="Century Gothic" w:cs="Arial"/>
          <w:color w:val="000000"/>
          <w:sz w:val="18"/>
          <w:szCs w:val="18"/>
        </w:rPr>
        <w:t xml:space="preserve">wassers zu erhalten, würden derzeit Forschungsvorhaben im Rahmen </w:t>
      </w:r>
      <w:r w:rsidR="0092095D">
        <w:rPr>
          <w:rFonts w:ascii="Century Gothic" w:hAnsi="Century Gothic" w:cs="Arial"/>
          <w:color w:val="000000"/>
          <w:sz w:val="18"/>
          <w:szCs w:val="18"/>
        </w:rPr>
        <w:t>des Umweltforschungs</w:t>
      </w:r>
      <w:r w:rsidRPr="00820073">
        <w:rPr>
          <w:rFonts w:ascii="Century Gothic" w:hAnsi="Century Gothic" w:cs="Arial"/>
          <w:color w:val="000000"/>
          <w:sz w:val="18"/>
          <w:szCs w:val="18"/>
        </w:rPr>
        <w:t xml:space="preserve">plans des Bundesumweltministeriums durchgeführt oder vorbereitet. </w:t>
      </w:r>
    </w:p>
    <w:p w:rsidR="0091071C" w:rsidRPr="00820073" w:rsidRDefault="0091071C" w:rsidP="00820073">
      <w:pPr>
        <w:autoSpaceDE w:val="0"/>
        <w:autoSpaceDN w:val="0"/>
        <w:adjustRightInd w:val="0"/>
        <w:jc w:val="both"/>
        <w:rPr>
          <w:rFonts w:ascii="Century Gothic" w:hAnsi="Century Gothic" w:cs="Arial"/>
          <w:color w:val="000000"/>
          <w:sz w:val="18"/>
          <w:szCs w:val="18"/>
        </w:rPr>
      </w:pPr>
      <w:r w:rsidRPr="00820073">
        <w:rPr>
          <w:rFonts w:ascii="Century Gothic" w:hAnsi="Century Gothic" w:cs="Arial"/>
          <w:color w:val="000000"/>
          <w:sz w:val="18"/>
          <w:szCs w:val="18"/>
        </w:rPr>
        <w:t>In Lebensmitteln träten Pflanzenschutzmittelrückstände nur in sehr geringen Konzentrationen auf, die weit unterhalb der Schwelle lägen, ab der die Einzelsubstanzen eine</w:t>
      </w:r>
      <w:r w:rsidR="0092095D">
        <w:rPr>
          <w:rFonts w:ascii="Century Gothic" w:hAnsi="Century Gothic" w:cs="Arial"/>
          <w:color w:val="000000"/>
          <w:sz w:val="18"/>
          <w:szCs w:val="18"/>
        </w:rPr>
        <w:t xml:space="preserve"> Wirkung auf die mensch</w:t>
      </w:r>
      <w:r w:rsidRPr="00820073">
        <w:rPr>
          <w:rFonts w:ascii="Century Gothic" w:hAnsi="Century Gothic" w:cs="Arial"/>
          <w:color w:val="000000"/>
          <w:sz w:val="18"/>
          <w:szCs w:val="18"/>
        </w:rPr>
        <w:t xml:space="preserve">liche Gesundheit haben könnten. Und auch die additive Bewertung der Einzelsubstanzen in den untersuchten Proben komme in der Regel zum selben Ergebnis. Das BMEL erklärte, dass in Deutschland die Zahl der amtlichen Überwachungsproben auf Pflanzenschutzmittelrückstände auf einem konstant hohen Niveau liege. </w:t>
      </w:r>
    </w:p>
    <w:p w:rsidR="0091071C" w:rsidRPr="00820073" w:rsidRDefault="0091071C" w:rsidP="00820073">
      <w:pPr>
        <w:ind w:right="120"/>
        <w:jc w:val="both"/>
        <w:rPr>
          <w:rFonts w:ascii="Century Gothic" w:hAnsi="Century Gothic"/>
          <w:sz w:val="18"/>
          <w:szCs w:val="18"/>
        </w:rPr>
      </w:pPr>
      <w:r w:rsidRPr="00820073">
        <w:rPr>
          <w:rFonts w:ascii="Century Gothic" w:hAnsi="Century Gothic" w:cs="Arial"/>
          <w:color w:val="000000"/>
          <w:sz w:val="18"/>
          <w:szCs w:val="18"/>
        </w:rPr>
        <w:t>Verbesserungsbedarf gibt es nach Einschätzung des Ministeriums beim Schutz der Umwelt vor einer Belastung mit Pflanzenschutzmitteln vor allem bei der Nichteinhaltung der Anwendungs</w:t>
      </w:r>
      <w:r w:rsidR="0092095D">
        <w:rPr>
          <w:rFonts w:ascii="Century Gothic" w:hAnsi="Century Gothic" w:cs="Arial"/>
          <w:color w:val="000000"/>
          <w:sz w:val="18"/>
          <w:szCs w:val="18"/>
        </w:rPr>
        <w:t>be</w:t>
      </w:r>
      <w:r w:rsidRPr="00820073">
        <w:rPr>
          <w:rFonts w:ascii="Century Gothic" w:hAnsi="Century Gothic" w:cs="Arial"/>
          <w:color w:val="000000"/>
          <w:sz w:val="18"/>
          <w:szCs w:val="18"/>
        </w:rPr>
        <w:t>stimmungen. Das führe dazu, dass es mitunter Überschreitungen der Grenzwerte gebe. Daher sei im Nationalen Aktionsplan zur nachhaltigen Anwendung von Pflanzenschutzmitteln (NAP) festgelegt, ein Kleingewässermonitoring</w:t>
      </w:r>
      <w:bookmarkStart w:id="0" w:name="_GoBack"/>
      <w:bookmarkEnd w:id="0"/>
      <w:r w:rsidRPr="00820073">
        <w:rPr>
          <w:rFonts w:ascii="Century Gothic" w:hAnsi="Century Gothic" w:cs="Arial"/>
          <w:color w:val="000000"/>
          <w:sz w:val="18"/>
          <w:szCs w:val="18"/>
        </w:rPr>
        <w:t xml:space="preserve"> für Pflanzenschutzmittel zu entwickeln.</w:t>
      </w:r>
    </w:p>
    <w:p w:rsidR="0091071C" w:rsidRDefault="0091071C" w:rsidP="005020CC">
      <w:pPr>
        <w:ind w:right="120"/>
        <w:jc w:val="both"/>
        <w:rPr>
          <w:rFonts w:ascii="Century Gothic" w:hAnsi="Century Gothic"/>
          <w:sz w:val="18"/>
          <w:szCs w:val="18"/>
        </w:rPr>
      </w:pPr>
    </w:p>
    <w:p w:rsidR="0092095D" w:rsidRDefault="0092095D" w:rsidP="005020CC">
      <w:pPr>
        <w:ind w:right="120"/>
        <w:jc w:val="both"/>
        <w:rPr>
          <w:rFonts w:ascii="Century Gothic" w:hAnsi="Century Gothic"/>
          <w:sz w:val="18"/>
          <w:szCs w:val="18"/>
        </w:rPr>
      </w:pPr>
    </w:p>
    <w:p w:rsidR="0091071C" w:rsidRPr="0091071C" w:rsidRDefault="0091071C" w:rsidP="0091071C">
      <w:pPr>
        <w:ind w:right="72"/>
        <w:jc w:val="both"/>
        <w:rPr>
          <w:rFonts w:ascii="Verdana" w:hAnsi="Verdana" w:cs="Arial"/>
          <w:b/>
          <w:sz w:val="18"/>
          <w:szCs w:val="18"/>
          <w:highlight w:val="lightGray"/>
          <w:u w:val="single"/>
        </w:rPr>
      </w:pPr>
      <w:r w:rsidRPr="0091071C">
        <w:rPr>
          <w:rFonts w:ascii="Verdana" w:hAnsi="Verdana" w:cs="Arial"/>
          <w:b/>
          <w:sz w:val="18"/>
          <w:szCs w:val="18"/>
          <w:highlight w:val="lightGray"/>
          <w:u w:val="single"/>
        </w:rPr>
        <w:t>2.2.2. Forum Nationaler Aktionsplan beschließt Arbeitsgruppe zum integrierten Pflanzenschutz</w:t>
      </w:r>
    </w:p>
    <w:p w:rsidR="0091071C" w:rsidRPr="00820073" w:rsidRDefault="0091071C" w:rsidP="00820073">
      <w:pPr>
        <w:pStyle w:val="Default"/>
        <w:jc w:val="both"/>
        <w:rPr>
          <w:rFonts w:ascii="Century Gothic" w:hAnsi="Century Gothic"/>
          <w:sz w:val="18"/>
          <w:szCs w:val="18"/>
        </w:rPr>
      </w:pPr>
      <w:r w:rsidRPr="00820073">
        <w:rPr>
          <w:rFonts w:ascii="Century Gothic" w:hAnsi="Century Gothic"/>
          <w:sz w:val="18"/>
          <w:szCs w:val="18"/>
        </w:rPr>
        <w:t xml:space="preserve">Am 12. und 13. Januar 2016 fand im Bundesministerium für Ernährung und Landwirtschaft (BMEL) die dritte Sitzung des Forums zum „Nationalen Aktionsplan zur nachhaltigen Anwendung von Pflanzenschutzmitteln (NAP)“ statt. Es kamen knapp 90 </w:t>
      </w:r>
      <w:r w:rsidR="0092095D">
        <w:rPr>
          <w:rFonts w:ascii="Century Gothic" w:hAnsi="Century Gothic"/>
          <w:sz w:val="18"/>
          <w:szCs w:val="18"/>
        </w:rPr>
        <w:t>Akteure von Bund und Ländern so</w:t>
      </w:r>
      <w:r w:rsidRPr="00820073">
        <w:rPr>
          <w:rFonts w:ascii="Century Gothic" w:hAnsi="Century Gothic"/>
          <w:sz w:val="18"/>
          <w:szCs w:val="18"/>
        </w:rPr>
        <w:t>wie von Verbänden zusammen, um sich über den aktuellen Stand der im NAP formulierten Ziele und Maßnahmen auszutauschen und über das weitere Vorgehen zu diskutieren. Schwerpunkte waren dabei die Themen Gewässerschutz und Biodiversität. Im Rahmen der Veranstaltung haben die Mitglieder des Forums Empfehlungen zu Informationstools</w:t>
      </w:r>
      <w:r w:rsidR="0092095D">
        <w:rPr>
          <w:rFonts w:ascii="Century Gothic" w:hAnsi="Century Gothic"/>
          <w:sz w:val="18"/>
          <w:szCs w:val="18"/>
        </w:rPr>
        <w:t xml:space="preserve"> für potentielle Eintragsgefähr</w:t>
      </w:r>
      <w:r w:rsidRPr="00820073">
        <w:rPr>
          <w:rFonts w:ascii="Century Gothic" w:hAnsi="Century Gothic"/>
          <w:sz w:val="18"/>
          <w:szCs w:val="18"/>
        </w:rPr>
        <w:t xml:space="preserve">dungen von Pflanzenschutzmitteln durch Abschwemmung, zum </w:t>
      </w:r>
      <w:r w:rsidRPr="00820073">
        <w:rPr>
          <w:rFonts w:ascii="Century Gothic" w:hAnsi="Century Gothic"/>
          <w:sz w:val="18"/>
          <w:szCs w:val="18"/>
        </w:rPr>
        <w:lastRenderedPageBreak/>
        <w:t xml:space="preserve">Kleingewässermonitoring sowie zum Pflanzenschutz und Biodiversität verabschiedet. Darüber hinaus wurde vor dem Hintergrund der anstehenden Überprüfung des NAP entschieden eine Arbeitsgruppe einzurichten, die eine konkrete Empfehlung für die Weiterentwicklung des integrierten Pflanzenschutzes im Rahmen des NAP erarbeitet. </w:t>
      </w:r>
    </w:p>
    <w:p w:rsidR="0091071C" w:rsidRPr="00820073" w:rsidRDefault="0091071C" w:rsidP="0092095D">
      <w:pPr>
        <w:pStyle w:val="Default"/>
        <w:jc w:val="both"/>
        <w:rPr>
          <w:rFonts w:ascii="Century Gothic" w:hAnsi="Century Gothic"/>
          <w:sz w:val="18"/>
          <w:szCs w:val="18"/>
        </w:rPr>
      </w:pPr>
      <w:r w:rsidRPr="00820073">
        <w:rPr>
          <w:rFonts w:ascii="Century Gothic" w:hAnsi="Century Gothic"/>
          <w:sz w:val="18"/>
          <w:szCs w:val="18"/>
        </w:rPr>
        <w:t>Die verabschiedeten Empfehlungen sowie die Sitzungsunterlagen stehen auf der Webseite zum Nationalen Aktionsplan Pflanzenschutz zum Download bereit. (</w:t>
      </w:r>
      <w:hyperlink r:id="rId18" w:history="1">
        <w:r w:rsidRPr="00820073">
          <w:rPr>
            <w:rStyle w:val="Hyperlink"/>
            <w:rFonts w:ascii="Century Gothic" w:hAnsi="Century Gothic"/>
            <w:sz w:val="18"/>
            <w:szCs w:val="18"/>
          </w:rPr>
          <w:t>www.nap-pflanzenschutz.de/gremien/forum-nap/forum-2016/</w:t>
        </w:r>
      </w:hyperlink>
      <w:r w:rsidRPr="00820073">
        <w:rPr>
          <w:rFonts w:ascii="Century Gothic" w:hAnsi="Century Gothic"/>
          <w:sz w:val="18"/>
          <w:szCs w:val="18"/>
        </w:rPr>
        <w:t>)</w:t>
      </w:r>
    </w:p>
    <w:p w:rsidR="0091071C" w:rsidRDefault="0091071C" w:rsidP="0091071C">
      <w:pPr>
        <w:ind w:right="120"/>
        <w:jc w:val="both"/>
        <w:rPr>
          <w:rFonts w:ascii="Century Gothic" w:hAnsi="Century Gothic"/>
          <w:sz w:val="18"/>
          <w:szCs w:val="18"/>
        </w:rPr>
      </w:pPr>
    </w:p>
    <w:p w:rsidR="0092095D" w:rsidRDefault="0092095D" w:rsidP="0091071C">
      <w:pPr>
        <w:ind w:right="120"/>
        <w:jc w:val="both"/>
        <w:rPr>
          <w:rFonts w:ascii="Century Gothic" w:hAnsi="Century Gothic"/>
          <w:sz w:val="18"/>
          <w:szCs w:val="18"/>
        </w:rPr>
      </w:pPr>
    </w:p>
    <w:p w:rsidR="0091071C" w:rsidRPr="005047EF" w:rsidRDefault="005047EF" w:rsidP="005047EF">
      <w:pPr>
        <w:ind w:right="72"/>
        <w:jc w:val="both"/>
        <w:rPr>
          <w:rFonts w:ascii="Verdana" w:hAnsi="Verdana" w:cs="Arial"/>
          <w:b/>
          <w:sz w:val="18"/>
          <w:szCs w:val="18"/>
          <w:highlight w:val="lightGray"/>
          <w:u w:val="single"/>
        </w:rPr>
      </w:pPr>
      <w:r w:rsidRPr="005047EF">
        <w:rPr>
          <w:rFonts w:ascii="Verdana" w:hAnsi="Verdana" w:cs="Arial"/>
          <w:b/>
          <w:sz w:val="18"/>
          <w:szCs w:val="18"/>
          <w:highlight w:val="lightGray"/>
          <w:u w:val="single"/>
        </w:rPr>
        <w:t>2.2.3. Studien zum „Pflanzenschutz in Deutschland un</w:t>
      </w:r>
      <w:r>
        <w:rPr>
          <w:rFonts w:ascii="Verdana" w:hAnsi="Verdana" w:cs="Arial"/>
          <w:b/>
          <w:sz w:val="18"/>
          <w:szCs w:val="18"/>
          <w:highlight w:val="lightGray"/>
          <w:u w:val="single"/>
        </w:rPr>
        <w:t>d</w:t>
      </w:r>
      <w:r w:rsidRPr="005047EF">
        <w:rPr>
          <w:rFonts w:ascii="Verdana" w:hAnsi="Verdana" w:cs="Arial"/>
          <w:b/>
          <w:sz w:val="18"/>
          <w:szCs w:val="18"/>
          <w:highlight w:val="lightGray"/>
          <w:u w:val="single"/>
        </w:rPr>
        <w:t xml:space="preserve"> Biodiversität“:</w:t>
      </w:r>
    </w:p>
    <w:p w:rsidR="005047EF" w:rsidRPr="005047EF" w:rsidRDefault="005047EF" w:rsidP="005047EF">
      <w:pPr>
        <w:ind w:right="72"/>
        <w:jc w:val="both"/>
        <w:rPr>
          <w:rFonts w:ascii="Verdana" w:hAnsi="Verdana" w:cs="Arial"/>
          <w:b/>
          <w:sz w:val="18"/>
          <w:szCs w:val="18"/>
          <w:highlight w:val="lightGray"/>
          <w:u w:val="single"/>
        </w:rPr>
      </w:pPr>
      <w:r w:rsidRPr="005047EF">
        <w:rPr>
          <w:rFonts w:ascii="Verdana" w:hAnsi="Verdana" w:cs="Arial"/>
          <w:b/>
          <w:sz w:val="18"/>
          <w:szCs w:val="18"/>
          <w:highlight w:val="lightGray"/>
          <w:u w:val="single"/>
        </w:rPr>
        <w:t>Konventioneller Ackerbau schneidet bezüglich Biodiversität top ab</w:t>
      </w:r>
    </w:p>
    <w:p w:rsidR="005047EF" w:rsidRDefault="005047EF" w:rsidP="00820073">
      <w:pPr>
        <w:pStyle w:val="Default"/>
        <w:jc w:val="both"/>
        <w:rPr>
          <w:rFonts w:ascii="Century Gothic" w:hAnsi="Century Gothic"/>
          <w:sz w:val="18"/>
          <w:szCs w:val="18"/>
        </w:rPr>
      </w:pPr>
      <w:r w:rsidRPr="00820073">
        <w:rPr>
          <w:rFonts w:ascii="Century Gothic" w:hAnsi="Century Gothic"/>
          <w:sz w:val="18"/>
          <w:szCs w:val="18"/>
        </w:rPr>
        <w:t xml:space="preserve">Laut einer Untersuchung des Humboldt Forum </w:t>
      </w:r>
      <w:proofErr w:type="spellStart"/>
      <w:r w:rsidRPr="00820073">
        <w:rPr>
          <w:rFonts w:ascii="Century Gothic" w:hAnsi="Century Gothic"/>
          <w:sz w:val="18"/>
          <w:szCs w:val="18"/>
        </w:rPr>
        <w:t>for</w:t>
      </w:r>
      <w:proofErr w:type="spellEnd"/>
      <w:r w:rsidRPr="00820073">
        <w:rPr>
          <w:rFonts w:ascii="Century Gothic" w:hAnsi="Century Gothic"/>
          <w:sz w:val="18"/>
          <w:szCs w:val="18"/>
        </w:rPr>
        <w:t xml:space="preserve"> Food </w:t>
      </w:r>
      <w:proofErr w:type="spellStart"/>
      <w:r w:rsidRPr="00820073">
        <w:rPr>
          <w:rFonts w:ascii="Century Gothic" w:hAnsi="Century Gothic"/>
          <w:sz w:val="18"/>
          <w:szCs w:val="18"/>
        </w:rPr>
        <w:t>and</w:t>
      </w:r>
      <w:proofErr w:type="spellEnd"/>
      <w:r w:rsidRPr="00820073">
        <w:rPr>
          <w:rFonts w:ascii="Century Gothic" w:hAnsi="Century Gothic"/>
          <w:sz w:val="18"/>
          <w:szCs w:val="18"/>
        </w:rPr>
        <w:t xml:space="preserve"> </w:t>
      </w:r>
      <w:proofErr w:type="spellStart"/>
      <w:r w:rsidRPr="00820073">
        <w:rPr>
          <w:rFonts w:ascii="Century Gothic" w:hAnsi="Century Gothic"/>
          <w:sz w:val="18"/>
          <w:szCs w:val="18"/>
        </w:rPr>
        <w:t>Agriculture</w:t>
      </w:r>
      <w:proofErr w:type="spellEnd"/>
      <w:r w:rsidRPr="00820073">
        <w:rPr>
          <w:rFonts w:ascii="Century Gothic" w:hAnsi="Century Gothic"/>
          <w:sz w:val="18"/>
          <w:szCs w:val="18"/>
        </w:rPr>
        <w:t xml:space="preserve"> e. V. (HFFA) leistet der konventionelle Ackerbau gemessen an der Erntemenge einen größeren Beitrag zur Biodiversität (biologische Vielfalt) als der ökologische. Das HFFA untersuchte im Auf</w:t>
      </w:r>
      <w:r w:rsidR="0092095D">
        <w:rPr>
          <w:rFonts w:ascii="Century Gothic" w:hAnsi="Century Gothic"/>
          <w:sz w:val="18"/>
          <w:szCs w:val="18"/>
        </w:rPr>
        <w:t>trag des Industrieverban</w:t>
      </w:r>
      <w:r w:rsidRPr="00820073">
        <w:rPr>
          <w:rFonts w:ascii="Century Gothic" w:hAnsi="Century Gothic"/>
          <w:sz w:val="18"/>
          <w:szCs w:val="18"/>
        </w:rPr>
        <w:t>des Agrar (IVA) die Auswirkungen von Pflanzenschutzstrategie</w:t>
      </w:r>
      <w:r w:rsidR="0092095D">
        <w:rPr>
          <w:rFonts w:ascii="Century Gothic" w:hAnsi="Century Gothic"/>
          <w:sz w:val="18"/>
          <w:szCs w:val="18"/>
        </w:rPr>
        <w:t>n der konventionellen und ökolo</w:t>
      </w:r>
      <w:r w:rsidRPr="00820073">
        <w:rPr>
          <w:rFonts w:ascii="Century Gothic" w:hAnsi="Century Gothic"/>
          <w:sz w:val="18"/>
          <w:szCs w:val="18"/>
        </w:rPr>
        <w:t xml:space="preserve">gischen Landbewirtschaftung auf die regionale und globale Artenvielfalt. </w:t>
      </w:r>
    </w:p>
    <w:p w:rsidR="00820073" w:rsidRPr="00820073" w:rsidRDefault="00820073" w:rsidP="00820073">
      <w:pPr>
        <w:pStyle w:val="Default"/>
        <w:jc w:val="both"/>
        <w:rPr>
          <w:rFonts w:ascii="Century Gothic" w:hAnsi="Century Gothic"/>
          <w:sz w:val="18"/>
          <w:szCs w:val="18"/>
        </w:rPr>
      </w:pPr>
    </w:p>
    <w:p w:rsidR="005047EF" w:rsidRPr="00820073" w:rsidRDefault="005047EF" w:rsidP="005047EF">
      <w:pPr>
        <w:pStyle w:val="Default"/>
        <w:rPr>
          <w:rFonts w:ascii="Verdana" w:hAnsi="Verdana"/>
          <w:sz w:val="14"/>
          <w:szCs w:val="14"/>
        </w:rPr>
      </w:pPr>
      <w:r w:rsidRPr="00820073">
        <w:rPr>
          <w:rFonts w:ascii="Verdana" w:hAnsi="Verdana"/>
          <w:b/>
          <w:bCs/>
          <w:sz w:val="14"/>
          <w:szCs w:val="14"/>
        </w:rPr>
        <w:t xml:space="preserve">Abb.: Mehrertrag des konventionellen Ackerbaus in Deutschland im Vergleich </w:t>
      </w:r>
    </w:p>
    <w:p w:rsidR="0091071C" w:rsidRPr="00820073" w:rsidRDefault="005047EF" w:rsidP="005047EF">
      <w:pPr>
        <w:ind w:right="120"/>
        <w:jc w:val="both"/>
        <w:rPr>
          <w:rFonts w:ascii="Verdana" w:hAnsi="Verdana"/>
          <w:b/>
          <w:bCs/>
          <w:sz w:val="14"/>
          <w:szCs w:val="14"/>
        </w:rPr>
      </w:pPr>
      <w:r w:rsidRPr="00820073">
        <w:rPr>
          <w:rFonts w:ascii="Verdana" w:hAnsi="Verdana"/>
          <w:b/>
          <w:bCs/>
          <w:sz w:val="14"/>
          <w:szCs w:val="14"/>
        </w:rPr>
        <w:t>zum ökologischen Ackerbau (in Prozent):</w:t>
      </w:r>
    </w:p>
    <w:p w:rsidR="005047EF" w:rsidRDefault="005047EF" w:rsidP="005047EF">
      <w:pPr>
        <w:ind w:right="120"/>
        <w:jc w:val="both"/>
        <w:rPr>
          <w:b/>
          <w:bCs/>
          <w:sz w:val="18"/>
          <w:szCs w:val="18"/>
        </w:rPr>
      </w:pPr>
    </w:p>
    <w:p w:rsidR="005047EF" w:rsidRDefault="005047EF" w:rsidP="005047EF">
      <w:pPr>
        <w:ind w:right="120"/>
        <w:jc w:val="both"/>
        <w:rPr>
          <w:rFonts w:ascii="Century Gothic" w:hAnsi="Century Gothic"/>
          <w:sz w:val="18"/>
          <w:szCs w:val="18"/>
        </w:rPr>
      </w:pPr>
      <w:r>
        <w:rPr>
          <w:rFonts w:ascii="Century Gothic" w:hAnsi="Century Gothic"/>
          <w:noProof/>
          <w:sz w:val="18"/>
          <w:szCs w:val="18"/>
        </w:rPr>
        <w:drawing>
          <wp:inline distT="0" distB="0" distL="0" distR="0">
            <wp:extent cx="3048000" cy="145403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1454032"/>
                    </a:xfrm>
                    <a:prstGeom prst="rect">
                      <a:avLst/>
                    </a:prstGeom>
                    <a:noFill/>
                    <a:ln>
                      <a:noFill/>
                    </a:ln>
                  </pic:spPr>
                </pic:pic>
              </a:graphicData>
            </a:graphic>
          </wp:inline>
        </w:drawing>
      </w:r>
    </w:p>
    <w:p w:rsidR="005047EF" w:rsidRDefault="005047EF" w:rsidP="005047EF">
      <w:pPr>
        <w:ind w:right="120"/>
        <w:jc w:val="both"/>
        <w:rPr>
          <w:sz w:val="16"/>
          <w:szCs w:val="16"/>
        </w:rPr>
      </w:pPr>
      <w:r>
        <w:rPr>
          <w:sz w:val="16"/>
          <w:szCs w:val="16"/>
        </w:rPr>
        <w:t>Quelle: HFFA Research GmbH | Pflanzenschutz in Deutschland und die regionale sowie globale Biodiversität HFFA Research Paper</w:t>
      </w:r>
    </w:p>
    <w:p w:rsidR="005047EF" w:rsidRDefault="005047EF" w:rsidP="005047EF">
      <w:pPr>
        <w:ind w:right="120"/>
        <w:jc w:val="both"/>
        <w:rPr>
          <w:rFonts w:ascii="Century Gothic" w:hAnsi="Century Gothic"/>
          <w:sz w:val="18"/>
          <w:szCs w:val="18"/>
        </w:rPr>
      </w:pPr>
    </w:p>
    <w:p w:rsidR="005047EF" w:rsidRPr="00820073" w:rsidRDefault="005047EF" w:rsidP="00820073">
      <w:pPr>
        <w:pStyle w:val="Default"/>
        <w:jc w:val="both"/>
        <w:rPr>
          <w:rFonts w:ascii="Century Gothic" w:hAnsi="Century Gothic"/>
          <w:sz w:val="18"/>
          <w:szCs w:val="18"/>
        </w:rPr>
      </w:pPr>
      <w:r w:rsidRPr="00820073">
        <w:rPr>
          <w:rFonts w:ascii="Century Gothic" w:hAnsi="Century Gothic"/>
          <w:sz w:val="18"/>
          <w:szCs w:val="18"/>
        </w:rPr>
        <w:t>Demnach beruht nach Angaben der Wissenschaftler der Effekt vor allem auf der</w:t>
      </w:r>
      <w:r w:rsidR="0092095D">
        <w:rPr>
          <w:rFonts w:ascii="Century Gothic" w:hAnsi="Century Gothic"/>
          <w:sz w:val="18"/>
          <w:szCs w:val="18"/>
        </w:rPr>
        <w:t xml:space="preserve"> doppelt so ho</w:t>
      </w:r>
      <w:r w:rsidRPr="00820073">
        <w:rPr>
          <w:rFonts w:ascii="Century Gothic" w:hAnsi="Century Gothic"/>
          <w:sz w:val="18"/>
          <w:szCs w:val="18"/>
        </w:rPr>
        <w:t>hen Ertragsleistung der herkömmlichen Wirtschaftsweise. Artenvie</w:t>
      </w:r>
      <w:r w:rsidR="0092095D">
        <w:rPr>
          <w:rFonts w:ascii="Century Gothic" w:hAnsi="Century Gothic"/>
          <w:sz w:val="18"/>
          <w:szCs w:val="18"/>
        </w:rPr>
        <w:t>lfalt ist bei beiden Ackerbauva</w:t>
      </w:r>
      <w:r w:rsidRPr="00820073">
        <w:rPr>
          <w:rFonts w:ascii="Century Gothic" w:hAnsi="Century Gothic"/>
          <w:sz w:val="18"/>
          <w:szCs w:val="18"/>
        </w:rPr>
        <w:t>rianten deutlich kleiner als in natürlichen Biotopen. Gemäß den Daten aus dem Testbetriebsnetz des Bundeslandwirtschaftsministeriums (BMEL) hätten die Ö</w:t>
      </w:r>
      <w:r w:rsidR="0092095D">
        <w:rPr>
          <w:rFonts w:ascii="Century Gothic" w:hAnsi="Century Gothic"/>
          <w:sz w:val="18"/>
          <w:szCs w:val="18"/>
        </w:rPr>
        <w:t>kobetriebe im Untersuchungszeit</w:t>
      </w:r>
      <w:r w:rsidRPr="00820073">
        <w:rPr>
          <w:rFonts w:ascii="Century Gothic" w:hAnsi="Century Gothic"/>
          <w:sz w:val="18"/>
          <w:szCs w:val="18"/>
        </w:rPr>
        <w:t xml:space="preserve">raum im Mittel um 51 % geringere Erträge erzielt als die konventionellen Vergleichsbetriebe. Im Umkehrschluss bedeute dies, dass der Ökoflächenbedarf für die gleiche Erntemenge mehr als doppelt so hoch angesetzt werden müsse. </w:t>
      </w:r>
    </w:p>
    <w:p w:rsidR="0091071C" w:rsidRDefault="005047EF" w:rsidP="00820073">
      <w:pPr>
        <w:ind w:right="120"/>
        <w:jc w:val="both"/>
        <w:rPr>
          <w:sz w:val="21"/>
          <w:szCs w:val="21"/>
        </w:rPr>
      </w:pPr>
      <w:r w:rsidRPr="00820073">
        <w:rPr>
          <w:rFonts w:ascii="Century Gothic" w:hAnsi="Century Gothic"/>
          <w:sz w:val="18"/>
          <w:szCs w:val="18"/>
        </w:rPr>
        <w:t>Laut dem HFFA-Geschäftsführer und Mitverfasser der Studie Dr</w:t>
      </w:r>
      <w:r w:rsidR="0092095D">
        <w:rPr>
          <w:rFonts w:ascii="Century Gothic" w:hAnsi="Century Gothic"/>
          <w:sz w:val="18"/>
          <w:szCs w:val="18"/>
        </w:rPr>
        <w:t xml:space="preserve">. Steffen </w:t>
      </w:r>
      <w:proofErr w:type="spellStart"/>
      <w:r w:rsidR="0092095D">
        <w:rPr>
          <w:rFonts w:ascii="Century Gothic" w:hAnsi="Century Gothic"/>
          <w:sz w:val="18"/>
          <w:szCs w:val="18"/>
        </w:rPr>
        <w:t>Noleppa</w:t>
      </w:r>
      <w:proofErr w:type="spellEnd"/>
      <w:r w:rsidR="0092095D">
        <w:rPr>
          <w:rFonts w:ascii="Century Gothic" w:hAnsi="Century Gothic"/>
          <w:sz w:val="18"/>
          <w:szCs w:val="18"/>
        </w:rPr>
        <w:t xml:space="preserve"> sind die abso</w:t>
      </w:r>
      <w:r w:rsidRPr="00820073">
        <w:rPr>
          <w:rFonts w:ascii="Century Gothic" w:hAnsi="Century Gothic"/>
          <w:sz w:val="18"/>
          <w:szCs w:val="18"/>
        </w:rPr>
        <w:t>luten Unterschiede bei den Verlusten an Artenvielfalt zwischen konventionellen und ökologischen Anbauverfahren nicht übermäßig groß. Verglichen mit einem natürlichen Ökosystem weise eine Agrarfläche in ökologischer Bewirtschaftung bereits eine um 67 % geringere Artenvielfalt auf, da auch der Biobauer seine Kulturpflanzen vor Unkräutern, Pilzen</w:t>
      </w:r>
      <w:r w:rsidR="0092095D">
        <w:rPr>
          <w:rFonts w:ascii="Century Gothic" w:hAnsi="Century Gothic"/>
          <w:sz w:val="18"/>
          <w:szCs w:val="18"/>
        </w:rPr>
        <w:t xml:space="preserve"> oder Schädlingen schütze. Dage</w:t>
      </w:r>
      <w:r w:rsidRPr="00820073">
        <w:rPr>
          <w:rFonts w:ascii="Century Gothic" w:hAnsi="Century Gothic"/>
          <w:sz w:val="18"/>
          <w:szCs w:val="18"/>
        </w:rPr>
        <w:t>gen gehe die Artenvielfalt im konventionellen Landbau nicht zul</w:t>
      </w:r>
      <w:r w:rsidR="0092095D">
        <w:rPr>
          <w:rFonts w:ascii="Century Gothic" w:hAnsi="Century Gothic"/>
          <w:sz w:val="18"/>
          <w:szCs w:val="18"/>
        </w:rPr>
        <w:t xml:space="preserve">etzt durch den </w:t>
      </w:r>
      <w:r w:rsidR="0092095D">
        <w:rPr>
          <w:rFonts w:ascii="Century Gothic" w:hAnsi="Century Gothic"/>
          <w:sz w:val="18"/>
          <w:szCs w:val="18"/>
        </w:rPr>
        <w:lastRenderedPageBreak/>
        <w:t>chemischen Pflan</w:t>
      </w:r>
      <w:r w:rsidRPr="00820073">
        <w:rPr>
          <w:rFonts w:ascii="Century Gothic" w:hAnsi="Century Gothic"/>
          <w:sz w:val="18"/>
          <w:szCs w:val="18"/>
        </w:rPr>
        <w:t>zenschutz im Mittel um 86 % gegenüber einem natürlichen Ökosystem zurück. Berücksichtige man die deutlich höheren Flächenerträge im konventionellen Anbau, zeige sich dann, dass der ökologische Landbau einen um 55 % größeren Verlust an Artenvie</w:t>
      </w:r>
      <w:r w:rsidR="0092095D">
        <w:rPr>
          <w:rFonts w:ascii="Century Gothic" w:hAnsi="Century Gothic"/>
          <w:sz w:val="18"/>
          <w:szCs w:val="18"/>
        </w:rPr>
        <w:t>lfalt je Ertragseinheit verursache.</w:t>
      </w:r>
      <w:r w:rsidRPr="00820073">
        <w:rPr>
          <w:rFonts w:ascii="Century Gothic" w:hAnsi="Century Gothic"/>
          <w:sz w:val="18"/>
          <w:szCs w:val="18"/>
        </w:rPr>
        <w:t>(</w:t>
      </w:r>
      <w:hyperlink r:id="rId20" w:history="1">
        <w:r w:rsidRPr="00820073">
          <w:rPr>
            <w:rStyle w:val="Hyperlink"/>
            <w:rFonts w:ascii="Century Gothic" w:hAnsi="Century Gothic"/>
            <w:sz w:val="18"/>
            <w:szCs w:val="18"/>
          </w:rPr>
          <w:t>http://www.iva.de/sites/default/files/pdfs/studie_pflanzenschutz_in_deutschland_und_biodiversitaet_hffa_2016.pdf</w:t>
        </w:r>
      </w:hyperlink>
      <w:r>
        <w:rPr>
          <w:sz w:val="21"/>
          <w:szCs w:val="21"/>
        </w:rPr>
        <w:t>)</w:t>
      </w:r>
    </w:p>
    <w:p w:rsidR="005047EF" w:rsidRDefault="005047EF" w:rsidP="005047EF">
      <w:pPr>
        <w:ind w:right="120"/>
        <w:jc w:val="both"/>
        <w:rPr>
          <w:rFonts w:ascii="Century Gothic" w:hAnsi="Century Gothic"/>
          <w:sz w:val="18"/>
          <w:szCs w:val="18"/>
        </w:rPr>
      </w:pPr>
    </w:p>
    <w:p w:rsidR="0092095D" w:rsidRDefault="0092095D" w:rsidP="005047EF">
      <w:pPr>
        <w:ind w:right="120"/>
        <w:jc w:val="both"/>
        <w:rPr>
          <w:rFonts w:ascii="Century Gothic" w:hAnsi="Century Gothic"/>
          <w:sz w:val="18"/>
          <w:szCs w:val="18"/>
        </w:rPr>
      </w:pPr>
    </w:p>
    <w:p w:rsidR="005047EF" w:rsidRPr="005047EF" w:rsidRDefault="005047EF" w:rsidP="005047EF">
      <w:pPr>
        <w:ind w:right="72"/>
        <w:jc w:val="both"/>
        <w:rPr>
          <w:rFonts w:ascii="Verdana" w:hAnsi="Verdana" w:cs="Arial"/>
          <w:b/>
          <w:sz w:val="18"/>
          <w:szCs w:val="18"/>
          <w:highlight w:val="lightGray"/>
          <w:u w:val="single"/>
        </w:rPr>
      </w:pPr>
      <w:r w:rsidRPr="005047EF">
        <w:rPr>
          <w:rFonts w:ascii="Verdana" w:hAnsi="Verdana" w:cs="Arial"/>
          <w:b/>
          <w:sz w:val="18"/>
          <w:szCs w:val="18"/>
          <w:highlight w:val="lightGray"/>
          <w:u w:val="single"/>
        </w:rPr>
        <w:t>2.2.4. Glyphosat:</w:t>
      </w:r>
    </w:p>
    <w:p w:rsidR="005047EF" w:rsidRPr="005047EF" w:rsidRDefault="005047EF" w:rsidP="005047EF">
      <w:pPr>
        <w:ind w:right="72"/>
        <w:jc w:val="both"/>
        <w:rPr>
          <w:rFonts w:ascii="Verdana" w:hAnsi="Verdana" w:cs="Arial"/>
          <w:b/>
          <w:sz w:val="18"/>
          <w:szCs w:val="18"/>
          <w:highlight w:val="lightGray"/>
          <w:u w:val="single"/>
        </w:rPr>
      </w:pPr>
      <w:proofErr w:type="spellStart"/>
      <w:r w:rsidRPr="005047EF">
        <w:rPr>
          <w:rFonts w:ascii="Verdana" w:hAnsi="Verdana" w:cs="Arial"/>
          <w:b/>
          <w:sz w:val="18"/>
          <w:szCs w:val="18"/>
          <w:highlight w:val="lightGray"/>
          <w:u w:val="single"/>
        </w:rPr>
        <w:t>BfR</w:t>
      </w:r>
      <w:proofErr w:type="spellEnd"/>
      <w:r w:rsidRPr="005047EF">
        <w:rPr>
          <w:rFonts w:ascii="Verdana" w:hAnsi="Verdana" w:cs="Arial"/>
          <w:b/>
          <w:sz w:val="18"/>
          <w:szCs w:val="18"/>
          <w:highlight w:val="lightGray"/>
          <w:u w:val="single"/>
        </w:rPr>
        <w:t xml:space="preserve"> und EFSA beantworten offenen Brief zur Bewertung der Kanzerogenität</w:t>
      </w:r>
    </w:p>
    <w:p w:rsidR="0044729A" w:rsidRPr="00820073" w:rsidRDefault="0044729A" w:rsidP="00820073">
      <w:pPr>
        <w:pStyle w:val="Default"/>
        <w:jc w:val="both"/>
        <w:rPr>
          <w:rFonts w:ascii="Century Gothic" w:hAnsi="Century Gothic"/>
          <w:sz w:val="18"/>
          <w:szCs w:val="18"/>
        </w:rPr>
      </w:pPr>
      <w:r w:rsidRPr="00820073">
        <w:rPr>
          <w:rFonts w:ascii="Century Gothic" w:hAnsi="Century Gothic"/>
          <w:sz w:val="18"/>
          <w:szCs w:val="18"/>
        </w:rPr>
        <w:t>Die Europäische Behörde für Lebensmittelsicherheit (EFSA) erl</w:t>
      </w:r>
      <w:r w:rsidR="0092095D">
        <w:rPr>
          <w:rFonts w:ascii="Century Gothic" w:hAnsi="Century Gothic"/>
          <w:sz w:val="18"/>
          <w:szCs w:val="18"/>
        </w:rPr>
        <w:t>äutert in dem am 13.01.2016 ver</w:t>
      </w:r>
      <w:r w:rsidRPr="00820073">
        <w:rPr>
          <w:rFonts w:ascii="Century Gothic" w:hAnsi="Century Gothic"/>
          <w:sz w:val="18"/>
          <w:szCs w:val="18"/>
        </w:rPr>
        <w:t>öffentlichten Brief (PDF, engl.) dass die Monographie der Inter</w:t>
      </w:r>
      <w:r w:rsidR="0092095D">
        <w:rPr>
          <w:rFonts w:ascii="Century Gothic" w:hAnsi="Century Gothic"/>
          <w:sz w:val="18"/>
          <w:szCs w:val="18"/>
        </w:rPr>
        <w:t>nationalen Agentur für Krebsfor</w:t>
      </w:r>
      <w:r w:rsidRPr="00820073">
        <w:rPr>
          <w:rFonts w:ascii="Century Gothic" w:hAnsi="Century Gothic"/>
          <w:sz w:val="18"/>
          <w:szCs w:val="18"/>
        </w:rPr>
        <w:t>schung (IARC) umfassend bei der Gesamtbewertung von Glyphosat berücksichtigt worden sei. Dies entsprechend dem Hintergrund der Präambel der IARC s</w:t>
      </w:r>
      <w:r w:rsidR="0092095D">
        <w:rPr>
          <w:rFonts w:ascii="Century Gothic" w:hAnsi="Century Gothic"/>
          <w:sz w:val="18"/>
          <w:szCs w:val="18"/>
        </w:rPr>
        <w:t>elbst, die besagt, dass Monogra</w:t>
      </w:r>
      <w:r w:rsidRPr="00820073">
        <w:rPr>
          <w:rFonts w:ascii="Century Gothic" w:hAnsi="Century Gothic"/>
          <w:sz w:val="18"/>
          <w:szCs w:val="18"/>
        </w:rPr>
        <w:t>phien der IARC von nationalen und internationalen Behörden bei der Ausübung ih</w:t>
      </w:r>
      <w:r w:rsidR="0092095D">
        <w:rPr>
          <w:rFonts w:ascii="Century Gothic" w:hAnsi="Century Gothic"/>
          <w:sz w:val="18"/>
          <w:szCs w:val="18"/>
        </w:rPr>
        <w:t>rer Risikobe</w:t>
      </w:r>
      <w:r w:rsidRPr="00820073">
        <w:rPr>
          <w:rFonts w:ascii="Century Gothic" w:hAnsi="Century Gothic"/>
          <w:sz w:val="18"/>
          <w:szCs w:val="18"/>
        </w:rPr>
        <w:t xml:space="preserve">wertung berücksichtigt werden können und nur erste Schritte der Risikobewertungen darstellen. </w:t>
      </w:r>
    </w:p>
    <w:p w:rsidR="0044729A" w:rsidRDefault="0044729A" w:rsidP="00820073">
      <w:pPr>
        <w:pStyle w:val="Default"/>
        <w:jc w:val="both"/>
        <w:rPr>
          <w:rFonts w:ascii="Century Gothic" w:hAnsi="Century Gothic"/>
          <w:sz w:val="18"/>
          <w:szCs w:val="18"/>
        </w:rPr>
      </w:pPr>
      <w:r w:rsidRPr="00820073">
        <w:rPr>
          <w:rFonts w:ascii="Century Gothic" w:hAnsi="Century Gothic"/>
          <w:sz w:val="18"/>
          <w:szCs w:val="18"/>
        </w:rPr>
        <w:t>Die EFSA-Bewertung stellt in Europa den gesetzlich verbindlichen Schritt eines klar definierten europäischen Regulierungsprozesses dar, der neben der Bewertung der Kanzerogenität und weiterer gesundheitlicher Risiken auch die anderen relevanten Bewertungsaspekte mit Bezug auf die Umwelt, Wirksamkeit usw. berücksichtigen muss. Bei jedem Schritt hat die EFSA</w:t>
      </w:r>
      <w:r w:rsidR="001875F3">
        <w:rPr>
          <w:rFonts w:ascii="Century Gothic" w:hAnsi="Century Gothic"/>
          <w:sz w:val="18"/>
          <w:szCs w:val="18"/>
        </w:rPr>
        <w:t xml:space="preserve"> die gesetz</w:t>
      </w:r>
      <w:r w:rsidRPr="00820073">
        <w:rPr>
          <w:rFonts w:ascii="Century Gothic" w:hAnsi="Century Gothic"/>
          <w:sz w:val="18"/>
          <w:szCs w:val="18"/>
        </w:rPr>
        <w:t xml:space="preserve">lichen Anforderungen in einem hochtransparenten wissenschaftlichen Peer-Review erfüllt, wie dies für alle Pestizidwirkstoffe vorgesehen ist. Die Schlussfolgerungen der EFSA und alle damit verbundenen Hintergrunddokumente wurden auf der Website der EFSA veröffentlicht. </w:t>
      </w:r>
    </w:p>
    <w:p w:rsidR="001875F3" w:rsidRPr="00820073" w:rsidRDefault="001875F3" w:rsidP="00820073">
      <w:pPr>
        <w:pStyle w:val="Default"/>
        <w:jc w:val="both"/>
        <w:rPr>
          <w:rFonts w:ascii="Century Gothic" w:hAnsi="Century Gothic"/>
          <w:sz w:val="18"/>
          <w:szCs w:val="18"/>
        </w:rPr>
      </w:pPr>
    </w:p>
    <w:p w:rsidR="0044729A" w:rsidRPr="00820073" w:rsidRDefault="0044729A" w:rsidP="00820073">
      <w:pPr>
        <w:pStyle w:val="Default"/>
        <w:jc w:val="both"/>
        <w:rPr>
          <w:rFonts w:ascii="Century Gothic" w:hAnsi="Century Gothic"/>
          <w:sz w:val="18"/>
          <w:szCs w:val="18"/>
        </w:rPr>
      </w:pPr>
      <w:r w:rsidRPr="00820073">
        <w:rPr>
          <w:rFonts w:ascii="Century Gothic" w:hAnsi="Century Gothic"/>
          <w:sz w:val="18"/>
          <w:szCs w:val="18"/>
        </w:rPr>
        <w:t>Die Argumente in dem Offenen Brief verändern die Gesamtschl</w:t>
      </w:r>
      <w:r w:rsidR="001875F3">
        <w:rPr>
          <w:rFonts w:ascii="Century Gothic" w:hAnsi="Century Gothic"/>
          <w:sz w:val="18"/>
          <w:szCs w:val="18"/>
        </w:rPr>
        <w:t>ussfolgerungen der gesundheitli</w:t>
      </w:r>
      <w:r w:rsidRPr="00820073">
        <w:rPr>
          <w:rFonts w:ascii="Century Gothic" w:hAnsi="Century Gothic"/>
          <w:sz w:val="18"/>
          <w:szCs w:val="18"/>
        </w:rPr>
        <w:t xml:space="preserve">chen Bewertung zu Glyphosat nicht. So gibt es beispielsweise keinen ausreichenden Beleg für eine Assoziation zwischen </w:t>
      </w:r>
      <w:proofErr w:type="spellStart"/>
      <w:r w:rsidRPr="00820073">
        <w:rPr>
          <w:rFonts w:ascii="Century Gothic" w:hAnsi="Century Gothic"/>
          <w:sz w:val="18"/>
          <w:szCs w:val="18"/>
        </w:rPr>
        <w:t>glyphosatbasierenden</w:t>
      </w:r>
      <w:proofErr w:type="spellEnd"/>
      <w:r w:rsidRPr="00820073">
        <w:rPr>
          <w:rFonts w:ascii="Century Gothic" w:hAnsi="Century Gothic"/>
          <w:sz w:val="18"/>
          <w:szCs w:val="18"/>
        </w:rPr>
        <w:t xml:space="preserve"> Formulierungen und Non-Hodgkin Lymphomen, was bereits in der IARC Bewertung deutlich gemacht wurde. Die Gesamtbeweislage der Studien am Menschen führt nach dem derzeitigen Stand des Wissens n</w:t>
      </w:r>
      <w:r w:rsidR="001875F3">
        <w:rPr>
          <w:rFonts w:ascii="Century Gothic" w:hAnsi="Century Gothic"/>
          <w:sz w:val="18"/>
          <w:szCs w:val="18"/>
        </w:rPr>
        <w:t>icht zu einem eindeutigen kausa</w:t>
      </w:r>
      <w:r w:rsidRPr="00820073">
        <w:rPr>
          <w:rFonts w:ascii="Century Gothic" w:hAnsi="Century Gothic"/>
          <w:sz w:val="18"/>
          <w:szCs w:val="18"/>
        </w:rPr>
        <w:t>len oder anderweitig überzeugenden assoziativen Zusammen</w:t>
      </w:r>
      <w:r w:rsidR="001875F3">
        <w:rPr>
          <w:rFonts w:ascii="Century Gothic" w:hAnsi="Century Gothic"/>
          <w:sz w:val="18"/>
          <w:szCs w:val="18"/>
        </w:rPr>
        <w:t>hang zwischen dem Wirkstoff Gly</w:t>
      </w:r>
      <w:r w:rsidRPr="00820073">
        <w:rPr>
          <w:rFonts w:ascii="Century Gothic" w:hAnsi="Century Gothic"/>
          <w:sz w:val="18"/>
          <w:szCs w:val="18"/>
        </w:rPr>
        <w:t>phosat und Krebs. Nach Aussage der EFSA gibt es auch weite</w:t>
      </w:r>
      <w:r w:rsidR="001875F3">
        <w:rPr>
          <w:rFonts w:ascii="Century Gothic" w:hAnsi="Century Gothic"/>
          <w:sz w:val="18"/>
          <w:szCs w:val="18"/>
        </w:rPr>
        <w:t>rhin keine überzeugenden Hinwei</w:t>
      </w:r>
      <w:r w:rsidRPr="00820073">
        <w:rPr>
          <w:rFonts w:ascii="Century Gothic" w:hAnsi="Century Gothic"/>
          <w:sz w:val="18"/>
          <w:szCs w:val="18"/>
        </w:rPr>
        <w:t>se auf Kanzerogenität bei Ratten oder Mäusen, wenn dem „</w:t>
      </w:r>
      <w:proofErr w:type="spellStart"/>
      <w:r w:rsidRPr="00820073">
        <w:rPr>
          <w:rFonts w:ascii="Century Gothic" w:hAnsi="Century Gothic"/>
          <w:sz w:val="18"/>
          <w:szCs w:val="18"/>
        </w:rPr>
        <w:t>weight</w:t>
      </w:r>
      <w:proofErr w:type="spellEnd"/>
      <w:r w:rsidRPr="00820073">
        <w:rPr>
          <w:rFonts w:ascii="Century Gothic" w:hAnsi="Century Gothic"/>
          <w:sz w:val="18"/>
          <w:szCs w:val="18"/>
        </w:rPr>
        <w:t xml:space="preserve"> </w:t>
      </w:r>
      <w:proofErr w:type="spellStart"/>
      <w:r w:rsidRPr="00820073">
        <w:rPr>
          <w:rFonts w:ascii="Century Gothic" w:hAnsi="Century Gothic"/>
          <w:sz w:val="18"/>
          <w:szCs w:val="18"/>
        </w:rPr>
        <w:t>of</w:t>
      </w:r>
      <w:proofErr w:type="spellEnd"/>
      <w:r w:rsidRPr="00820073">
        <w:rPr>
          <w:rFonts w:ascii="Century Gothic" w:hAnsi="Century Gothic"/>
          <w:sz w:val="18"/>
          <w:szCs w:val="18"/>
        </w:rPr>
        <w:t xml:space="preserve"> </w:t>
      </w:r>
      <w:proofErr w:type="spellStart"/>
      <w:r w:rsidRPr="00820073">
        <w:rPr>
          <w:rFonts w:ascii="Century Gothic" w:hAnsi="Century Gothic"/>
          <w:sz w:val="18"/>
          <w:szCs w:val="18"/>
        </w:rPr>
        <w:t>evidence</w:t>
      </w:r>
      <w:proofErr w:type="spellEnd"/>
      <w:r w:rsidRPr="00820073">
        <w:rPr>
          <w:rFonts w:ascii="Century Gothic" w:hAnsi="Century Gothic"/>
          <w:sz w:val="18"/>
          <w:szCs w:val="18"/>
        </w:rPr>
        <w:t xml:space="preserve">“ Verfahren gefolgt wird. </w:t>
      </w:r>
    </w:p>
    <w:p w:rsidR="0044729A" w:rsidRPr="00820073" w:rsidRDefault="0044729A" w:rsidP="00820073">
      <w:pPr>
        <w:pStyle w:val="Default"/>
        <w:jc w:val="both"/>
        <w:rPr>
          <w:rFonts w:ascii="Century Gothic" w:hAnsi="Century Gothic"/>
          <w:sz w:val="18"/>
          <w:szCs w:val="18"/>
        </w:rPr>
      </w:pPr>
      <w:r w:rsidRPr="00820073">
        <w:rPr>
          <w:rFonts w:ascii="Century Gothic" w:hAnsi="Century Gothic"/>
          <w:sz w:val="18"/>
          <w:szCs w:val="18"/>
        </w:rPr>
        <w:t xml:space="preserve">Die in dem offenen Brief getroffenen Aussagen zur Kanzerogenität von Glyphosat stehen im Widerspruch zu Bewertungen von nationalen und internationalen Institutionen einschließlich des WHO/FAO Joint Meeting on </w:t>
      </w:r>
      <w:proofErr w:type="spellStart"/>
      <w:r w:rsidRPr="00820073">
        <w:rPr>
          <w:rFonts w:ascii="Century Gothic" w:hAnsi="Century Gothic"/>
          <w:sz w:val="18"/>
          <w:szCs w:val="18"/>
        </w:rPr>
        <w:t>Pesticide</w:t>
      </w:r>
      <w:proofErr w:type="spellEnd"/>
      <w:r w:rsidRPr="00820073">
        <w:rPr>
          <w:rFonts w:ascii="Century Gothic" w:hAnsi="Century Gothic"/>
          <w:sz w:val="18"/>
          <w:szCs w:val="18"/>
        </w:rPr>
        <w:t xml:space="preserve"> </w:t>
      </w:r>
      <w:proofErr w:type="spellStart"/>
      <w:r w:rsidRPr="00820073">
        <w:rPr>
          <w:rFonts w:ascii="Century Gothic" w:hAnsi="Century Gothic"/>
          <w:sz w:val="18"/>
          <w:szCs w:val="18"/>
        </w:rPr>
        <w:t>Residues</w:t>
      </w:r>
      <w:proofErr w:type="spellEnd"/>
      <w:r w:rsidRPr="00820073">
        <w:rPr>
          <w:rFonts w:ascii="Century Gothic" w:hAnsi="Century Gothic"/>
          <w:sz w:val="18"/>
          <w:szCs w:val="18"/>
        </w:rPr>
        <w:t xml:space="preserve"> (JMPR). Die gesundheitliche Bewertung des Pflanzenschutzmittelwirkstoffes Glyphosat ergibt nach Prüfung aller vorliegenden Studien durch diese Institutionen, dass bei bestimmungsgemäßer Anwendung ein krebserzeugendes Risiko für den Menschen nach derzeitiger Datenlage unwahrscheinlich ist. </w:t>
      </w:r>
    </w:p>
    <w:p w:rsidR="005047EF" w:rsidRPr="00820073" w:rsidRDefault="0044729A" w:rsidP="00820073">
      <w:pPr>
        <w:ind w:right="120"/>
        <w:jc w:val="both"/>
        <w:rPr>
          <w:rFonts w:ascii="Century Gothic" w:hAnsi="Century Gothic"/>
          <w:sz w:val="18"/>
          <w:szCs w:val="18"/>
        </w:rPr>
      </w:pPr>
      <w:r w:rsidRPr="00820073">
        <w:rPr>
          <w:rFonts w:ascii="Century Gothic" w:hAnsi="Century Gothic"/>
          <w:sz w:val="18"/>
          <w:szCs w:val="18"/>
        </w:rPr>
        <w:lastRenderedPageBreak/>
        <w:t>Die Antworten der EFSA zu dem Offenen Brief sind am 13. Januar 2016 auf der EFSA-Webseite (www.efsa.eu) veröffentlicht worden. Diesem Schreiben beigefügt ist ein Anhang mit detaillierten Antworten auf die wissenschaftlichen Fragen, die in dem Offenen Brief angesprochen wurden. Dazu gehören beispielsweise Erklärungen der Befunde aus Tierstudien zur Kanzerogenität sowie die Interpretation zu den in der IARC-Monographie berichteten Tumoren.</w:t>
      </w:r>
    </w:p>
    <w:p w:rsidR="005047EF" w:rsidRDefault="005047EF" w:rsidP="005020CC">
      <w:pPr>
        <w:ind w:right="120"/>
        <w:jc w:val="both"/>
        <w:rPr>
          <w:rFonts w:ascii="Century Gothic" w:hAnsi="Century Gothic"/>
          <w:sz w:val="18"/>
          <w:szCs w:val="18"/>
        </w:rPr>
      </w:pPr>
    </w:p>
    <w:p w:rsidR="001875F3" w:rsidRDefault="001875F3" w:rsidP="005020CC">
      <w:pPr>
        <w:ind w:right="120"/>
        <w:jc w:val="both"/>
        <w:rPr>
          <w:rFonts w:ascii="Century Gothic" w:hAnsi="Century Gothic"/>
          <w:sz w:val="18"/>
          <w:szCs w:val="18"/>
        </w:rPr>
      </w:pPr>
    </w:p>
    <w:p w:rsidR="0044729A" w:rsidRPr="005047EF" w:rsidRDefault="0044729A" w:rsidP="0044729A">
      <w:pPr>
        <w:ind w:right="72"/>
        <w:jc w:val="both"/>
        <w:rPr>
          <w:rFonts w:ascii="Verdana" w:hAnsi="Verdana" w:cs="Arial"/>
          <w:b/>
          <w:sz w:val="18"/>
          <w:szCs w:val="18"/>
          <w:highlight w:val="lightGray"/>
          <w:u w:val="single"/>
        </w:rPr>
      </w:pPr>
      <w:r>
        <w:rPr>
          <w:rFonts w:ascii="Verdana" w:hAnsi="Verdana" w:cs="Arial"/>
          <w:b/>
          <w:sz w:val="18"/>
          <w:szCs w:val="18"/>
          <w:highlight w:val="lightGray"/>
          <w:u w:val="single"/>
        </w:rPr>
        <w:t>2.2.5</w:t>
      </w:r>
      <w:r w:rsidRPr="005047EF">
        <w:rPr>
          <w:rFonts w:ascii="Verdana" w:hAnsi="Verdana" w:cs="Arial"/>
          <w:b/>
          <w:sz w:val="18"/>
          <w:szCs w:val="18"/>
          <w:highlight w:val="lightGray"/>
          <w:u w:val="single"/>
        </w:rPr>
        <w:t xml:space="preserve">. </w:t>
      </w:r>
      <w:r>
        <w:rPr>
          <w:rFonts w:ascii="Verdana" w:hAnsi="Verdana" w:cs="Arial"/>
          <w:b/>
          <w:sz w:val="18"/>
          <w:szCs w:val="18"/>
          <w:highlight w:val="lightGray"/>
          <w:u w:val="single"/>
        </w:rPr>
        <w:t>Verminderter Glyphosateinsatz ohne wirtschaftliche Nachteile möglich</w:t>
      </w:r>
    </w:p>
    <w:p w:rsidR="0044729A" w:rsidRPr="00820073" w:rsidRDefault="0044729A" w:rsidP="00820073">
      <w:pPr>
        <w:pStyle w:val="StandardWeb"/>
        <w:spacing w:before="0" w:beforeAutospacing="0" w:after="150" w:afterAutospacing="0"/>
        <w:jc w:val="both"/>
        <w:rPr>
          <w:rFonts w:ascii="Century Gothic" w:hAnsi="Century Gothic"/>
          <w:color w:val="222222"/>
          <w:sz w:val="18"/>
          <w:szCs w:val="18"/>
        </w:rPr>
      </w:pPr>
      <w:r w:rsidRPr="00820073">
        <w:rPr>
          <w:rFonts w:ascii="Century Gothic" w:hAnsi="Century Gothic"/>
          <w:color w:val="auto"/>
          <w:sz w:val="18"/>
          <w:szCs w:val="18"/>
        </w:rPr>
        <w:t>Die deutschen Landwirte könnten unter bestimmten Bedingungen auf den Einsatz von</w:t>
      </w:r>
      <w:r w:rsidRPr="00820073">
        <w:rPr>
          <w:rStyle w:val="apple-converted-space"/>
          <w:rFonts w:ascii="Century Gothic" w:hAnsi="Century Gothic"/>
          <w:color w:val="auto"/>
          <w:sz w:val="18"/>
          <w:szCs w:val="18"/>
        </w:rPr>
        <w:t> </w:t>
      </w:r>
      <w:hyperlink r:id="rId21" w:history="1">
        <w:r w:rsidRPr="00820073">
          <w:rPr>
            <w:rStyle w:val="Hyperlink"/>
            <w:rFonts w:ascii="Century Gothic" w:hAnsi="Century Gothic"/>
            <w:color w:val="auto"/>
            <w:sz w:val="18"/>
            <w:szCs w:val="18"/>
          </w:rPr>
          <w:t>Glyphosat</w:t>
        </w:r>
      </w:hyperlink>
      <w:r w:rsidRPr="00820073">
        <w:rPr>
          <w:rStyle w:val="apple-converted-space"/>
          <w:rFonts w:ascii="Century Gothic" w:hAnsi="Century Gothic"/>
          <w:color w:val="auto"/>
          <w:sz w:val="18"/>
          <w:szCs w:val="18"/>
        </w:rPr>
        <w:t> </w:t>
      </w:r>
      <w:r w:rsidRPr="00820073">
        <w:rPr>
          <w:rFonts w:ascii="Century Gothic" w:hAnsi="Century Gothic"/>
          <w:color w:val="auto"/>
          <w:sz w:val="18"/>
          <w:szCs w:val="18"/>
        </w:rPr>
        <w:t>im</w:t>
      </w:r>
      <w:r w:rsidRPr="00820073">
        <w:rPr>
          <w:rStyle w:val="apple-converted-space"/>
          <w:rFonts w:ascii="Century Gothic" w:hAnsi="Century Gothic"/>
          <w:color w:val="auto"/>
          <w:sz w:val="18"/>
          <w:szCs w:val="18"/>
        </w:rPr>
        <w:t> </w:t>
      </w:r>
      <w:hyperlink r:id="rId22" w:history="1">
        <w:r w:rsidRPr="00820073">
          <w:rPr>
            <w:rStyle w:val="Hyperlink"/>
            <w:rFonts w:ascii="Century Gothic" w:hAnsi="Century Gothic"/>
            <w:color w:val="auto"/>
            <w:sz w:val="18"/>
            <w:szCs w:val="18"/>
          </w:rPr>
          <w:t>Ackerbau</w:t>
        </w:r>
      </w:hyperlink>
      <w:r w:rsidRPr="00820073">
        <w:rPr>
          <w:rStyle w:val="apple-converted-space"/>
          <w:rFonts w:ascii="Century Gothic" w:hAnsi="Century Gothic"/>
          <w:color w:val="auto"/>
          <w:sz w:val="18"/>
          <w:szCs w:val="18"/>
        </w:rPr>
        <w:t> </w:t>
      </w:r>
      <w:r w:rsidRPr="00820073">
        <w:rPr>
          <w:rFonts w:ascii="Century Gothic" w:hAnsi="Century Gothic"/>
          <w:color w:val="auto"/>
          <w:sz w:val="18"/>
          <w:szCs w:val="18"/>
        </w:rPr>
        <w:t>verzichten, ohne dabei wirtschaftliche Nachteile hinnehmen zu müssen. Zu diesem Schluss kommt das Julius-Kühn-Institut (</w:t>
      </w:r>
      <w:hyperlink r:id="rId23" w:history="1">
        <w:r w:rsidRPr="00820073">
          <w:rPr>
            <w:rStyle w:val="Hyperlink"/>
            <w:rFonts w:ascii="Century Gothic" w:hAnsi="Century Gothic"/>
            <w:color w:val="auto"/>
            <w:sz w:val="18"/>
            <w:szCs w:val="18"/>
          </w:rPr>
          <w:t>JKI</w:t>
        </w:r>
      </w:hyperlink>
      <w:r w:rsidRPr="00820073">
        <w:rPr>
          <w:rFonts w:ascii="Century Gothic" w:hAnsi="Century Gothic"/>
          <w:color w:val="auto"/>
          <w:sz w:val="18"/>
          <w:szCs w:val="18"/>
        </w:rPr>
        <w:t xml:space="preserve">) nach </w:t>
      </w:r>
      <w:r w:rsidRPr="00820073">
        <w:rPr>
          <w:rFonts w:ascii="Century Gothic" w:hAnsi="Century Gothic"/>
          <w:color w:val="222222"/>
          <w:sz w:val="18"/>
          <w:szCs w:val="18"/>
        </w:rPr>
        <w:t>einer ökonomischen Folgenabschätzung, die in der vergangenen Woche vorgelegt wurde.</w:t>
      </w:r>
    </w:p>
    <w:p w:rsidR="0044729A" w:rsidRPr="00820073" w:rsidRDefault="0044729A" w:rsidP="00820073">
      <w:pPr>
        <w:pStyle w:val="StandardWeb"/>
        <w:spacing w:before="0" w:beforeAutospacing="0" w:after="150" w:afterAutospacing="0"/>
        <w:jc w:val="both"/>
        <w:rPr>
          <w:rFonts w:ascii="Century Gothic" w:hAnsi="Century Gothic"/>
          <w:color w:val="222222"/>
          <w:sz w:val="18"/>
          <w:szCs w:val="18"/>
        </w:rPr>
      </w:pPr>
      <w:r w:rsidRPr="00820073">
        <w:rPr>
          <w:rFonts w:ascii="Century Gothic" w:hAnsi="Century Gothic"/>
          <w:color w:val="222222"/>
          <w:sz w:val="18"/>
          <w:szCs w:val="18"/>
        </w:rPr>
        <w:t xml:space="preserve">Die Autoren der Studie schlussfolgern, dass Glyphosat nicht von vorneherein als Standardmaßnahme in diesen Anbausystemen vorgesehen werden sollte. Vielmehr gelte es sorgfältig zu prüfen, ob Anwendungen des Breitbandherbizids vor allem auf der Stoppel oder gegebenenfalls auch vor der Saat durch mechanische Arbeitsgänge mit geeigneten Geräten ersetzt werden könnten. Dies ließe eine Einsparung der </w:t>
      </w:r>
      <w:proofErr w:type="spellStart"/>
      <w:r w:rsidRPr="00820073">
        <w:rPr>
          <w:rFonts w:ascii="Century Gothic" w:hAnsi="Century Gothic"/>
          <w:color w:val="222222"/>
          <w:sz w:val="18"/>
          <w:szCs w:val="18"/>
        </w:rPr>
        <w:t>Glyphosatmenge</w:t>
      </w:r>
      <w:proofErr w:type="spellEnd"/>
      <w:r w:rsidRPr="00820073">
        <w:rPr>
          <w:rFonts w:ascii="Century Gothic" w:hAnsi="Century Gothic"/>
          <w:color w:val="222222"/>
          <w:sz w:val="18"/>
          <w:szCs w:val="18"/>
        </w:rPr>
        <w:t xml:space="preserve"> erwarten.</w:t>
      </w:r>
    </w:p>
    <w:p w:rsidR="0044729A" w:rsidRPr="00820073" w:rsidRDefault="0044729A" w:rsidP="00820073">
      <w:pPr>
        <w:pStyle w:val="StandardWeb"/>
        <w:spacing w:before="0" w:beforeAutospacing="0" w:after="150" w:afterAutospacing="0"/>
        <w:jc w:val="both"/>
        <w:rPr>
          <w:rFonts w:ascii="Century Gothic" w:hAnsi="Century Gothic"/>
          <w:color w:val="222222"/>
          <w:sz w:val="18"/>
          <w:szCs w:val="18"/>
        </w:rPr>
      </w:pPr>
      <w:r w:rsidRPr="00820073">
        <w:rPr>
          <w:rFonts w:ascii="Century Gothic" w:hAnsi="Century Gothic"/>
          <w:color w:val="222222"/>
          <w:sz w:val="18"/>
          <w:szCs w:val="18"/>
        </w:rPr>
        <w:t xml:space="preserve">Insbesondere sei auch der Pflugeinsatz wieder häufiger auf Böden, die eine entsprechende Bearbeitung zuließen und nicht erosionsgefährdet seien, in Betracht zu ziehen, so die Wissenschaftler. Falls dies nicht ganzflächig in Betracht komme, sollte zumindest in Erwägung gezogen werden, die </w:t>
      </w:r>
      <w:proofErr w:type="spellStart"/>
      <w:r w:rsidRPr="00820073">
        <w:rPr>
          <w:rFonts w:ascii="Century Gothic" w:hAnsi="Century Gothic"/>
          <w:color w:val="222222"/>
          <w:sz w:val="18"/>
          <w:szCs w:val="18"/>
        </w:rPr>
        <w:t>Glyphosatanwendung</w:t>
      </w:r>
      <w:proofErr w:type="spellEnd"/>
      <w:r w:rsidRPr="00820073">
        <w:rPr>
          <w:rFonts w:ascii="Century Gothic" w:hAnsi="Century Gothic"/>
          <w:color w:val="222222"/>
          <w:sz w:val="18"/>
          <w:szCs w:val="18"/>
        </w:rPr>
        <w:t xml:space="preserve"> auf kritische Teilbereiche der Schläge, beispielsweise mit Queckenbesatz, zu beschränken.</w:t>
      </w:r>
    </w:p>
    <w:p w:rsidR="0044729A" w:rsidRPr="00820073" w:rsidRDefault="0044729A" w:rsidP="00820073">
      <w:pPr>
        <w:pStyle w:val="StandardWeb"/>
        <w:spacing w:before="0" w:beforeAutospacing="0" w:after="150" w:afterAutospacing="0"/>
        <w:jc w:val="both"/>
        <w:rPr>
          <w:rFonts w:ascii="Century Gothic" w:hAnsi="Century Gothic"/>
          <w:color w:val="222222"/>
          <w:sz w:val="18"/>
          <w:szCs w:val="18"/>
        </w:rPr>
      </w:pPr>
      <w:r w:rsidRPr="00820073">
        <w:rPr>
          <w:rFonts w:ascii="Century Gothic" w:hAnsi="Century Gothic"/>
          <w:color w:val="222222"/>
          <w:sz w:val="18"/>
          <w:szCs w:val="18"/>
        </w:rPr>
        <w:t>Ferner gilt es nach Ansicht der Forscher zu prüfen, ob der Einsatz von Pflanzenschutzmitteln, die den Wirkstoff enthalten, im jährlichen Wechsel mit mechanischen Arbeitsgängen nicht auch ausreichende Ergebnisse liefert. Vorernteanwendungen mit Glyphosat sollten generell in Mähdruschfrüchten auf das notwendige Maß begrenzt werden. Gravierende ökonomische Folgen würde der Verzicht auf den Wirkstoff dem Institut zufolge allerdings bei Dauerkulturen haben. Im Apfelanbau erscheine ein solcher Schritt wirtschaftlich kaum vertretbar.</w:t>
      </w:r>
    </w:p>
    <w:p w:rsidR="0044729A" w:rsidRPr="00820073" w:rsidRDefault="0044729A" w:rsidP="00820073">
      <w:pPr>
        <w:pStyle w:val="berschrift3"/>
        <w:spacing w:before="0"/>
        <w:jc w:val="both"/>
        <w:rPr>
          <w:rFonts w:ascii="Century Gothic" w:hAnsi="Century Gothic" w:cs="Arial"/>
          <w:color w:val="222222"/>
          <w:sz w:val="18"/>
          <w:szCs w:val="18"/>
        </w:rPr>
      </w:pPr>
      <w:r w:rsidRPr="00820073">
        <w:rPr>
          <w:rFonts w:ascii="Century Gothic" w:hAnsi="Century Gothic" w:cs="Arial"/>
          <w:color w:val="222222"/>
          <w:sz w:val="18"/>
          <w:szCs w:val="18"/>
        </w:rPr>
        <w:t>Ertragseinbußen nicht ausgeschlossen</w:t>
      </w:r>
    </w:p>
    <w:p w:rsidR="0044729A" w:rsidRPr="00820073" w:rsidRDefault="0044729A" w:rsidP="00820073">
      <w:pPr>
        <w:pStyle w:val="StandardWeb"/>
        <w:spacing w:before="0" w:beforeAutospacing="0" w:after="150" w:afterAutospacing="0"/>
        <w:jc w:val="both"/>
        <w:rPr>
          <w:rFonts w:ascii="Century Gothic" w:hAnsi="Century Gothic"/>
          <w:color w:val="222222"/>
          <w:sz w:val="18"/>
          <w:szCs w:val="18"/>
        </w:rPr>
      </w:pPr>
      <w:r w:rsidRPr="00820073">
        <w:rPr>
          <w:rFonts w:ascii="Century Gothic" w:hAnsi="Century Gothic"/>
          <w:color w:val="222222"/>
          <w:sz w:val="18"/>
          <w:szCs w:val="18"/>
        </w:rPr>
        <w:t>Die ökonomischen Folgen eines Verzichts auf die Anwendung des Wirkstoffs hängen laut Studie im Ackerbau stark davon ab, ob durch eine einmalige zusätzliche Bodenbearbeitung eine Wirkungsäquivalenz zu Glyphosat erzielt werden kann. In diesem Fall könnte die mechanische</w:t>
      </w:r>
      <w:r w:rsidRPr="00820073">
        <w:rPr>
          <w:rStyle w:val="apple-converted-space"/>
          <w:rFonts w:ascii="Century Gothic" w:hAnsi="Century Gothic"/>
          <w:color w:val="222222"/>
          <w:sz w:val="18"/>
          <w:szCs w:val="18"/>
        </w:rPr>
        <w:t> </w:t>
      </w:r>
      <w:hyperlink r:id="rId24" w:history="1">
        <w:r w:rsidRPr="000E4C16">
          <w:rPr>
            <w:rStyle w:val="Hyperlink"/>
            <w:rFonts w:ascii="Century Gothic" w:hAnsi="Century Gothic"/>
            <w:color w:val="auto"/>
            <w:sz w:val="18"/>
            <w:szCs w:val="18"/>
          </w:rPr>
          <w:t>Unkrautbekämpfung</w:t>
        </w:r>
      </w:hyperlink>
      <w:r w:rsidRPr="000E4C16">
        <w:rPr>
          <w:rStyle w:val="apple-converted-space"/>
          <w:rFonts w:ascii="Century Gothic" w:hAnsi="Century Gothic"/>
          <w:color w:val="auto"/>
          <w:sz w:val="18"/>
          <w:szCs w:val="18"/>
        </w:rPr>
        <w:t> </w:t>
      </w:r>
      <w:r w:rsidRPr="00820073">
        <w:rPr>
          <w:rFonts w:ascii="Century Gothic" w:hAnsi="Century Gothic"/>
          <w:color w:val="222222"/>
          <w:sz w:val="18"/>
          <w:szCs w:val="18"/>
        </w:rPr>
        <w:t>zu einem betriebswirtschaftlich identischen oder sogar besseren Ergebnis führen.</w:t>
      </w:r>
    </w:p>
    <w:p w:rsidR="0044729A" w:rsidRPr="00820073" w:rsidRDefault="0044729A" w:rsidP="00820073">
      <w:pPr>
        <w:pStyle w:val="StandardWeb"/>
        <w:spacing w:before="0" w:beforeAutospacing="0" w:after="150" w:afterAutospacing="0"/>
        <w:jc w:val="both"/>
        <w:rPr>
          <w:rFonts w:ascii="Century Gothic" w:hAnsi="Century Gothic"/>
          <w:color w:val="222222"/>
          <w:sz w:val="18"/>
          <w:szCs w:val="18"/>
        </w:rPr>
      </w:pPr>
      <w:r w:rsidRPr="00820073">
        <w:rPr>
          <w:rFonts w:ascii="Century Gothic" w:hAnsi="Century Gothic"/>
          <w:color w:val="222222"/>
          <w:sz w:val="18"/>
          <w:szCs w:val="18"/>
        </w:rPr>
        <w:t xml:space="preserve">Als wichtige Einflussfaktoren für die ökonomischen Konsequenzen der Substitution machten die Forscher dabei den Standort, die Witterung und die Anbaupraxis aus. Wenn es unter ungünstigen Bedingungen jedoch trotz zwei bis drei zusätzlicher Bodenbearbeitungsgänge </w:t>
      </w:r>
      <w:r w:rsidRPr="00820073">
        <w:rPr>
          <w:rFonts w:ascii="Century Gothic" w:hAnsi="Century Gothic"/>
          <w:color w:val="222222"/>
          <w:sz w:val="18"/>
          <w:szCs w:val="18"/>
        </w:rPr>
        <w:lastRenderedPageBreak/>
        <w:t>zu Ertragseinbußen aufgrund von Unkrautbefall komme, seien Mehrkosten zu erwarten.</w:t>
      </w:r>
    </w:p>
    <w:p w:rsidR="0044729A" w:rsidRPr="00820073" w:rsidRDefault="0044729A" w:rsidP="00820073">
      <w:pPr>
        <w:pStyle w:val="StandardWeb"/>
        <w:spacing w:before="0" w:beforeAutospacing="0" w:after="150" w:afterAutospacing="0"/>
        <w:jc w:val="both"/>
        <w:rPr>
          <w:rFonts w:ascii="Century Gothic" w:hAnsi="Century Gothic"/>
          <w:color w:val="222222"/>
          <w:sz w:val="18"/>
          <w:szCs w:val="18"/>
        </w:rPr>
      </w:pPr>
      <w:r w:rsidRPr="00820073">
        <w:rPr>
          <w:rFonts w:ascii="Century Gothic" w:hAnsi="Century Gothic"/>
          <w:color w:val="222222"/>
          <w:sz w:val="18"/>
          <w:szCs w:val="18"/>
        </w:rPr>
        <w:t>Der Verzicht auf Glyphosat führe dann bei der Stoppelbearbeitung in winterungsbetonten Fruchtfolgen den Berechnungen zufolge zu Mehrausgaben von 55 Euro/ha bis 89 Euro/ha und Jahr; das Auslassen einer entsprechenden Vorsaatbehandlung könne Mehrkosten von jährlich bis zu 100 Euro/ha nach sich ziehen. Bei einem durchschnittlichen</w:t>
      </w:r>
      <w:r w:rsidRPr="00820073">
        <w:rPr>
          <w:rStyle w:val="apple-converted-space"/>
          <w:rFonts w:ascii="Century Gothic" w:hAnsi="Century Gothic"/>
          <w:color w:val="222222"/>
          <w:sz w:val="18"/>
          <w:szCs w:val="18"/>
        </w:rPr>
        <w:t> </w:t>
      </w:r>
      <w:hyperlink r:id="rId25" w:history="1">
        <w:r w:rsidRPr="001875F3">
          <w:rPr>
            <w:rStyle w:val="Hyperlink"/>
            <w:rFonts w:ascii="Century Gothic" w:hAnsi="Century Gothic"/>
            <w:color w:val="auto"/>
            <w:sz w:val="18"/>
            <w:szCs w:val="18"/>
          </w:rPr>
          <w:t>Deckungsbeitrag</w:t>
        </w:r>
      </w:hyperlink>
      <w:r w:rsidRPr="00820073">
        <w:rPr>
          <w:rStyle w:val="apple-converted-space"/>
          <w:rFonts w:ascii="Century Gothic" w:hAnsi="Century Gothic"/>
          <w:color w:val="222222"/>
          <w:sz w:val="18"/>
          <w:szCs w:val="18"/>
        </w:rPr>
        <w:t> </w:t>
      </w:r>
      <w:r w:rsidRPr="00820073">
        <w:rPr>
          <w:rFonts w:ascii="Century Gothic" w:hAnsi="Century Gothic"/>
          <w:color w:val="222222"/>
          <w:sz w:val="18"/>
          <w:szCs w:val="18"/>
        </w:rPr>
        <w:t>für Weizen von 600 Euro/ha bis 900 Euro/ha würden die zusätzlichen Kosten etwa 6 % bis 17 % des Deckungsbeitrags ausmachen.</w:t>
      </w:r>
    </w:p>
    <w:p w:rsidR="0044729A" w:rsidRDefault="0044729A" w:rsidP="0044729A">
      <w:pPr>
        <w:ind w:right="72"/>
        <w:jc w:val="both"/>
        <w:rPr>
          <w:rFonts w:ascii="Verdana" w:hAnsi="Verdana" w:cs="Arial"/>
          <w:b/>
          <w:sz w:val="18"/>
          <w:szCs w:val="18"/>
          <w:highlight w:val="lightGray"/>
          <w:u w:val="single"/>
        </w:rPr>
      </w:pPr>
    </w:p>
    <w:p w:rsidR="0044729A" w:rsidRPr="005047EF" w:rsidRDefault="0044729A" w:rsidP="0044729A">
      <w:pPr>
        <w:ind w:right="72"/>
        <w:jc w:val="both"/>
        <w:rPr>
          <w:rFonts w:ascii="Verdana" w:hAnsi="Verdana" w:cs="Arial"/>
          <w:b/>
          <w:sz w:val="18"/>
          <w:szCs w:val="18"/>
          <w:highlight w:val="lightGray"/>
          <w:u w:val="single"/>
        </w:rPr>
      </w:pPr>
      <w:r>
        <w:rPr>
          <w:rFonts w:ascii="Verdana" w:hAnsi="Verdana" w:cs="Arial"/>
          <w:b/>
          <w:sz w:val="18"/>
          <w:szCs w:val="18"/>
          <w:highlight w:val="lightGray"/>
          <w:u w:val="single"/>
        </w:rPr>
        <w:t>2.2.</w:t>
      </w:r>
      <w:r>
        <w:rPr>
          <w:rFonts w:ascii="Verdana" w:hAnsi="Verdana" w:cs="Arial"/>
          <w:b/>
          <w:sz w:val="18"/>
          <w:szCs w:val="18"/>
          <w:highlight w:val="lightGray"/>
          <w:u w:val="single"/>
        </w:rPr>
        <w:t>6</w:t>
      </w:r>
      <w:r w:rsidRPr="005047EF">
        <w:rPr>
          <w:rFonts w:ascii="Verdana" w:hAnsi="Verdana" w:cs="Arial"/>
          <w:b/>
          <w:sz w:val="18"/>
          <w:szCs w:val="18"/>
          <w:highlight w:val="lightGray"/>
          <w:u w:val="single"/>
        </w:rPr>
        <w:t xml:space="preserve">. </w:t>
      </w:r>
      <w:r>
        <w:rPr>
          <w:rFonts w:ascii="Verdana" w:hAnsi="Verdana" w:cs="Arial"/>
          <w:b/>
          <w:sz w:val="18"/>
          <w:szCs w:val="18"/>
          <w:highlight w:val="lightGray"/>
          <w:u w:val="single"/>
        </w:rPr>
        <w:t>UBA-Studie sieht trotz</w:t>
      </w:r>
      <w:r w:rsidR="00E23297">
        <w:rPr>
          <w:rFonts w:ascii="Verdana" w:hAnsi="Verdana" w:cs="Arial"/>
          <w:b/>
          <w:sz w:val="18"/>
          <w:szCs w:val="18"/>
          <w:highlight w:val="lightGray"/>
          <w:u w:val="single"/>
        </w:rPr>
        <w:t xml:space="preserve"> niedriger Glyphosatbelastung im Urin Forschungsbedarf</w:t>
      </w:r>
    </w:p>
    <w:p w:rsidR="00E23297" w:rsidRDefault="00E23297" w:rsidP="001875F3">
      <w:pPr>
        <w:pStyle w:val="Default"/>
        <w:jc w:val="both"/>
        <w:rPr>
          <w:rFonts w:ascii="Century Gothic" w:hAnsi="Century Gothic"/>
          <w:sz w:val="18"/>
          <w:szCs w:val="18"/>
        </w:rPr>
      </w:pPr>
      <w:r w:rsidRPr="00820073">
        <w:rPr>
          <w:rFonts w:ascii="Century Gothic" w:hAnsi="Century Gothic"/>
          <w:sz w:val="18"/>
          <w:szCs w:val="18"/>
        </w:rPr>
        <w:t>Das Umweltbundesamt (UBA) hat in einer Langzeitstudie Urin</w:t>
      </w:r>
      <w:r w:rsidR="001875F3">
        <w:rPr>
          <w:rFonts w:ascii="Century Gothic" w:hAnsi="Century Gothic"/>
          <w:sz w:val="18"/>
          <w:szCs w:val="18"/>
        </w:rPr>
        <w:t>proben auf mögliche Anreicherun</w:t>
      </w:r>
      <w:r w:rsidRPr="00820073">
        <w:rPr>
          <w:rFonts w:ascii="Century Gothic" w:hAnsi="Century Gothic"/>
          <w:sz w:val="18"/>
          <w:szCs w:val="18"/>
        </w:rPr>
        <w:t>gen von Glyphosat untersucht. Über 15 Jahre wurden dabei in</w:t>
      </w:r>
      <w:r w:rsidR="001875F3">
        <w:rPr>
          <w:rFonts w:ascii="Century Gothic" w:hAnsi="Century Gothic"/>
          <w:sz w:val="18"/>
          <w:szCs w:val="18"/>
        </w:rPr>
        <w:t xml:space="preserve"> einer rund 400 Proben umfassen</w:t>
      </w:r>
      <w:r w:rsidRPr="00820073">
        <w:rPr>
          <w:rFonts w:ascii="Century Gothic" w:hAnsi="Century Gothic"/>
          <w:sz w:val="18"/>
          <w:szCs w:val="18"/>
        </w:rPr>
        <w:t xml:space="preserve">den Stichprobe Untersuchungen durchgeführt und festgestellt, dass der höchste gemessene Wert dabei um den Faktor 1.000 niedriger liegt, als die EU-Lebensmittelbehörde für vertretbar hält. Dennoch sieht das UBA weiteren Forschungsbedarf. </w:t>
      </w:r>
    </w:p>
    <w:p w:rsidR="00820073" w:rsidRPr="00820073" w:rsidRDefault="00820073" w:rsidP="00E23297">
      <w:pPr>
        <w:pStyle w:val="Default"/>
        <w:rPr>
          <w:rFonts w:ascii="Century Gothic" w:hAnsi="Century Gothic"/>
          <w:sz w:val="18"/>
          <w:szCs w:val="18"/>
        </w:rPr>
      </w:pPr>
    </w:p>
    <w:p w:rsidR="005047EF" w:rsidRPr="00820073" w:rsidRDefault="00E23297" w:rsidP="00E23297">
      <w:pPr>
        <w:ind w:right="120"/>
        <w:jc w:val="both"/>
        <w:rPr>
          <w:rFonts w:ascii="Century Gothic" w:hAnsi="Century Gothic"/>
          <w:sz w:val="18"/>
          <w:szCs w:val="18"/>
        </w:rPr>
      </w:pPr>
      <w:r w:rsidRPr="00820073">
        <w:rPr>
          <w:rFonts w:ascii="Century Gothic" w:hAnsi="Century Gothic"/>
          <w:sz w:val="18"/>
          <w:szCs w:val="18"/>
        </w:rPr>
        <w:t xml:space="preserve">UBA-Präsidentin Maria </w:t>
      </w:r>
      <w:proofErr w:type="spellStart"/>
      <w:r w:rsidRPr="00820073">
        <w:rPr>
          <w:rFonts w:ascii="Century Gothic" w:hAnsi="Century Gothic"/>
          <w:sz w:val="18"/>
          <w:szCs w:val="18"/>
        </w:rPr>
        <w:t>Krautzberger</w:t>
      </w:r>
      <w:proofErr w:type="spellEnd"/>
      <w:r w:rsidRPr="00820073">
        <w:rPr>
          <w:rFonts w:ascii="Century Gothic" w:hAnsi="Century Gothic"/>
          <w:sz w:val="18"/>
          <w:szCs w:val="18"/>
        </w:rPr>
        <w:t xml:space="preserve"> erklärte, dass die Datenlage zur Belastung beim Menschen verbessert werden müsse. Insbesondere bei Kindern lägen bisher kaum gesicherte Daten vor. Dazu laufe aktuell im UBA eine Studie. Glyphosat soll nach Ansicht des UBA auch nicht isoliert betrachtet werden, sondern die eingesetzten Produkte umfassender untersuchen werden.</w:t>
      </w:r>
    </w:p>
    <w:p w:rsidR="005047EF" w:rsidRDefault="005047EF" w:rsidP="005020CC">
      <w:pPr>
        <w:ind w:right="120"/>
        <w:jc w:val="both"/>
        <w:rPr>
          <w:rFonts w:ascii="Century Gothic" w:hAnsi="Century Gothic"/>
          <w:sz w:val="18"/>
          <w:szCs w:val="18"/>
        </w:rPr>
      </w:pPr>
    </w:p>
    <w:p w:rsidR="00820073" w:rsidRDefault="00820073" w:rsidP="005020CC">
      <w:pPr>
        <w:ind w:right="120"/>
        <w:jc w:val="both"/>
        <w:rPr>
          <w:rFonts w:ascii="Century Gothic" w:hAnsi="Century Gothic"/>
          <w:sz w:val="18"/>
          <w:szCs w:val="18"/>
        </w:rPr>
      </w:pPr>
    </w:p>
    <w:p w:rsidR="00E23297" w:rsidRPr="005047EF" w:rsidRDefault="00E23297" w:rsidP="00E23297">
      <w:pPr>
        <w:ind w:right="72"/>
        <w:jc w:val="both"/>
        <w:rPr>
          <w:rFonts w:ascii="Verdana" w:hAnsi="Verdana" w:cs="Arial"/>
          <w:b/>
          <w:sz w:val="18"/>
          <w:szCs w:val="18"/>
          <w:highlight w:val="lightGray"/>
          <w:u w:val="single"/>
        </w:rPr>
      </w:pPr>
      <w:r>
        <w:rPr>
          <w:rFonts w:ascii="Verdana" w:hAnsi="Verdana" w:cs="Arial"/>
          <w:b/>
          <w:sz w:val="18"/>
          <w:szCs w:val="18"/>
          <w:highlight w:val="lightGray"/>
          <w:u w:val="single"/>
        </w:rPr>
        <w:t>2.2.</w:t>
      </w:r>
      <w:r>
        <w:rPr>
          <w:rFonts w:ascii="Verdana" w:hAnsi="Verdana" w:cs="Arial"/>
          <w:b/>
          <w:sz w:val="18"/>
          <w:szCs w:val="18"/>
          <w:highlight w:val="lightGray"/>
          <w:u w:val="single"/>
        </w:rPr>
        <w:t>7</w:t>
      </w:r>
      <w:r w:rsidRPr="005047EF">
        <w:rPr>
          <w:rFonts w:ascii="Verdana" w:hAnsi="Verdana" w:cs="Arial"/>
          <w:b/>
          <w:sz w:val="18"/>
          <w:szCs w:val="18"/>
          <w:highlight w:val="lightGray"/>
          <w:u w:val="single"/>
        </w:rPr>
        <w:t xml:space="preserve">. </w:t>
      </w:r>
      <w:r>
        <w:rPr>
          <w:rFonts w:ascii="Verdana" w:hAnsi="Verdana" w:cs="Arial"/>
          <w:b/>
          <w:sz w:val="18"/>
          <w:szCs w:val="18"/>
          <w:highlight w:val="lightGray"/>
          <w:u w:val="single"/>
        </w:rPr>
        <w:t>EFSA wird Neubewertung von Neonikotinoiden erst 2017 abschließen</w:t>
      </w:r>
    </w:p>
    <w:p w:rsidR="005020CC" w:rsidRDefault="00E23297" w:rsidP="001875F3">
      <w:pPr>
        <w:ind w:right="120"/>
        <w:jc w:val="both"/>
        <w:rPr>
          <w:rFonts w:ascii="Century Gothic" w:hAnsi="Century Gothic"/>
          <w:sz w:val="18"/>
          <w:szCs w:val="18"/>
        </w:rPr>
      </w:pPr>
      <w:r w:rsidRPr="00820073">
        <w:rPr>
          <w:rFonts w:ascii="Century Gothic" w:hAnsi="Century Gothic"/>
          <w:sz w:val="18"/>
          <w:szCs w:val="18"/>
        </w:rPr>
        <w:t>Die Europäische Behörde für Lebensmittelsicherheit (EFSA) teilte</w:t>
      </w:r>
      <w:r w:rsidR="001875F3">
        <w:rPr>
          <w:rFonts w:ascii="Century Gothic" w:hAnsi="Century Gothic"/>
          <w:sz w:val="18"/>
          <w:szCs w:val="18"/>
        </w:rPr>
        <w:t xml:space="preserve"> mit, dass die aktualisierte Be</w:t>
      </w:r>
      <w:r w:rsidRPr="00820073">
        <w:rPr>
          <w:rFonts w:ascii="Century Gothic" w:hAnsi="Century Gothic"/>
          <w:sz w:val="18"/>
          <w:szCs w:val="18"/>
        </w:rPr>
        <w:t xml:space="preserve">wertung der Wirkstoffe </w:t>
      </w:r>
      <w:proofErr w:type="spellStart"/>
      <w:r w:rsidRPr="00820073">
        <w:rPr>
          <w:rFonts w:ascii="Century Gothic" w:hAnsi="Century Gothic"/>
          <w:sz w:val="18"/>
          <w:szCs w:val="18"/>
        </w:rPr>
        <w:t>Clothianidin</w:t>
      </w:r>
      <w:proofErr w:type="spellEnd"/>
      <w:r w:rsidRPr="00820073">
        <w:rPr>
          <w:rFonts w:ascii="Century Gothic" w:hAnsi="Century Gothic"/>
          <w:sz w:val="18"/>
          <w:szCs w:val="18"/>
        </w:rPr>
        <w:t xml:space="preserve">, </w:t>
      </w:r>
      <w:proofErr w:type="spellStart"/>
      <w:r w:rsidRPr="00820073">
        <w:rPr>
          <w:rFonts w:ascii="Century Gothic" w:hAnsi="Century Gothic"/>
          <w:sz w:val="18"/>
          <w:szCs w:val="18"/>
        </w:rPr>
        <w:t>Thiamethoxam</w:t>
      </w:r>
      <w:proofErr w:type="spellEnd"/>
      <w:r w:rsidRPr="00820073">
        <w:rPr>
          <w:rFonts w:ascii="Century Gothic" w:hAnsi="Century Gothic"/>
          <w:sz w:val="18"/>
          <w:szCs w:val="18"/>
        </w:rPr>
        <w:t xml:space="preserve"> und </w:t>
      </w:r>
      <w:proofErr w:type="spellStart"/>
      <w:r w:rsidRPr="00820073">
        <w:rPr>
          <w:rFonts w:ascii="Century Gothic" w:hAnsi="Century Gothic"/>
          <w:sz w:val="18"/>
          <w:szCs w:val="18"/>
        </w:rPr>
        <w:t>Imidacloprid</w:t>
      </w:r>
      <w:proofErr w:type="spellEnd"/>
      <w:r w:rsidRPr="00820073">
        <w:rPr>
          <w:rFonts w:ascii="Century Gothic" w:hAnsi="Century Gothic"/>
          <w:sz w:val="18"/>
          <w:szCs w:val="18"/>
        </w:rPr>
        <w:t xml:space="preserve"> zur Saatgutbehandlung und als Granulat erst im Januar 2017 abschlossen sein. Dabei sollen laut EFSA alle seit 2012 neu gewonnenen Daten aus Studien, Forschung und Überwachung </w:t>
      </w:r>
      <w:r w:rsidR="001875F3">
        <w:rPr>
          <w:rFonts w:ascii="Century Gothic" w:hAnsi="Century Gothic"/>
          <w:sz w:val="18"/>
          <w:szCs w:val="18"/>
        </w:rPr>
        <w:t>berücksichtigt werden, insbeson</w:t>
      </w:r>
      <w:r w:rsidRPr="00820073">
        <w:rPr>
          <w:rFonts w:ascii="Century Gothic" w:hAnsi="Century Gothic"/>
          <w:sz w:val="18"/>
          <w:szCs w:val="18"/>
        </w:rPr>
        <w:t>dere Informationen, die 2015 infolge eines Aufrufs zur Einreichung von Daten übermittelt wurden. Die EFSA hatte Neonikotinoide vor drei Jahren als bienenschädli</w:t>
      </w:r>
      <w:r w:rsidR="001875F3">
        <w:rPr>
          <w:rFonts w:ascii="Century Gothic" w:hAnsi="Century Gothic"/>
          <w:sz w:val="18"/>
          <w:szCs w:val="18"/>
        </w:rPr>
        <w:t>ch eingestuft, woraufhin die Eu</w:t>
      </w:r>
      <w:r w:rsidRPr="00820073">
        <w:rPr>
          <w:rFonts w:ascii="Century Gothic" w:hAnsi="Century Gothic"/>
          <w:sz w:val="18"/>
          <w:szCs w:val="18"/>
        </w:rPr>
        <w:t xml:space="preserve">ropäische Union ein Teilverbot der Nutzung dieser Stoffe verfügte, das seit Dezember 2013 in Kraft ist. Die Europäische Kommission hatte ursprünglich angekündigt, dass die Neubewertung bis Ende 2015 fertiggestellt würde. Im vergangenen Jahr hielt die EFSA ihr Urteil aufrecht, dass </w:t>
      </w:r>
      <w:proofErr w:type="spellStart"/>
      <w:r w:rsidRPr="00820073">
        <w:rPr>
          <w:rFonts w:ascii="Century Gothic" w:hAnsi="Century Gothic"/>
          <w:sz w:val="18"/>
          <w:szCs w:val="18"/>
        </w:rPr>
        <w:t>Clothianidin</w:t>
      </w:r>
      <w:proofErr w:type="spellEnd"/>
      <w:r w:rsidRPr="00820073">
        <w:rPr>
          <w:rFonts w:ascii="Century Gothic" w:hAnsi="Century Gothic"/>
          <w:sz w:val="18"/>
          <w:szCs w:val="18"/>
        </w:rPr>
        <w:t xml:space="preserve">, </w:t>
      </w:r>
      <w:proofErr w:type="spellStart"/>
      <w:r w:rsidRPr="00820073">
        <w:rPr>
          <w:rFonts w:ascii="Century Gothic" w:hAnsi="Century Gothic"/>
          <w:sz w:val="18"/>
          <w:szCs w:val="18"/>
        </w:rPr>
        <w:t>Thiamethoxam</w:t>
      </w:r>
      <w:proofErr w:type="spellEnd"/>
      <w:r w:rsidRPr="00820073">
        <w:rPr>
          <w:rFonts w:ascii="Century Gothic" w:hAnsi="Century Gothic"/>
          <w:sz w:val="18"/>
          <w:szCs w:val="18"/>
        </w:rPr>
        <w:t xml:space="preserve"> und </w:t>
      </w:r>
      <w:proofErr w:type="spellStart"/>
      <w:r w:rsidRPr="00820073">
        <w:rPr>
          <w:rFonts w:ascii="Century Gothic" w:hAnsi="Century Gothic"/>
          <w:sz w:val="18"/>
          <w:szCs w:val="18"/>
        </w:rPr>
        <w:t>Imidacloprid</w:t>
      </w:r>
      <w:proofErr w:type="spellEnd"/>
      <w:r w:rsidRPr="00820073">
        <w:rPr>
          <w:rFonts w:ascii="Century Gothic" w:hAnsi="Century Gothic"/>
          <w:sz w:val="18"/>
          <w:szCs w:val="18"/>
        </w:rPr>
        <w:t xml:space="preserve"> beim Einsatz als Spritzmittel zur Blattbehandlung ein Risiko für Bienen darstellten. In Deutschland fuhren die Landwirte 2015 eine gegenüber dem Vorjahr deutlich schlechtere Rapsernte ein. Der Deutsche Bau</w:t>
      </w:r>
      <w:r w:rsidR="001875F3">
        <w:rPr>
          <w:rFonts w:ascii="Century Gothic" w:hAnsi="Century Gothic"/>
          <w:sz w:val="18"/>
          <w:szCs w:val="18"/>
        </w:rPr>
        <w:t>ernverband (DBV) führte den Ein</w:t>
      </w:r>
      <w:r w:rsidRPr="00820073">
        <w:rPr>
          <w:rFonts w:ascii="Century Gothic" w:hAnsi="Century Gothic"/>
          <w:sz w:val="18"/>
          <w:szCs w:val="18"/>
        </w:rPr>
        <w:t>bruch um rund ein Fünftel gegenüber dem Rekordjahr 2014 neben schlechten Witterungsbedi</w:t>
      </w:r>
      <w:r w:rsidR="001875F3">
        <w:rPr>
          <w:rFonts w:ascii="Century Gothic" w:hAnsi="Century Gothic"/>
          <w:sz w:val="18"/>
          <w:szCs w:val="18"/>
        </w:rPr>
        <w:t>n</w:t>
      </w:r>
      <w:r w:rsidRPr="00820073">
        <w:rPr>
          <w:rFonts w:ascii="Century Gothic" w:hAnsi="Century Gothic"/>
          <w:sz w:val="18"/>
          <w:szCs w:val="18"/>
        </w:rPr>
        <w:t>gungen auch auf das Verbot der Saatgutbeizung mit Neonikotinoiden zurück.</w:t>
      </w:r>
    </w:p>
    <w:p w:rsidR="00B05E1D" w:rsidRPr="00F954E2" w:rsidRDefault="00B05E1D" w:rsidP="005020CC">
      <w:pPr>
        <w:ind w:right="72"/>
        <w:jc w:val="both"/>
        <w:rPr>
          <w:rFonts w:ascii="Verdana" w:hAnsi="Verdana" w:cs="Arial"/>
          <w:b/>
          <w:sz w:val="22"/>
          <w:szCs w:val="22"/>
          <w:highlight w:val="darkYellow"/>
          <w:u w:val="single"/>
        </w:rPr>
      </w:pPr>
      <w:r w:rsidRPr="005020CC">
        <w:rPr>
          <w:rFonts w:ascii="Verdana" w:hAnsi="Verdana" w:cs="Arial"/>
          <w:b/>
          <w:sz w:val="22"/>
          <w:szCs w:val="22"/>
          <w:highlight w:val="darkYellow"/>
          <w:u w:val="single"/>
        </w:rPr>
        <w:lastRenderedPageBreak/>
        <w:t>3.</w:t>
      </w:r>
      <w:r w:rsidRPr="00F954E2">
        <w:rPr>
          <w:rFonts w:ascii="Verdana" w:hAnsi="Verdana" w:cs="Arial"/>
          <w:b/>
          <w:sz w:val="22"/>
          <w:szCs w:val="22"/>
          <w:highlight w:val="darkYellow"/>
          <w:u w:val="single"/>
        </w:rPr>
        <w:t xml:space="preserve"> </w:t>
      </w:r>
      <w:r w:rsidR="00E23297">
        <w:rPr>
          <w:rFonts w:ascii="Verdana" w:hAnsi="Verdana" w:cs="Arial"/>
          <w:b/>
          <w:sz w:val="22"/>
          <w:szCs w:val="22"/>
          <w:highlight w:val="darkYellow"/>
          <w:u w:val="single"/>
        </w:rPr>
        <w:t>Meldungen zur Ernte</w:t>
      </w:r>
    </w:p>
    <w:p w:rsidR="005020CC" w:rsidRPr="00A46E05" w:rsidRDefault="005020CC" w:rsidP="00E23297">
      <w:pPr>
        <w:ind w:right="72"/>
        <w:jc w:val="both"/>
        <w:rPr>
          <w:rFonts w:ascii="Verdana" w:hAnsi="Verdana" w:cs="Arial"/>
          <w:b/>
          <w:sz w:val="18"/>
          <w:szCs w:val="18"/>
          <w:highlight w:val="lightGray"/>
          <w:u w:val="single"/>
        </w:rPr>
      </w:pPr>
      <w:r>
        <w:rPr>
          <w:rFonts w:ascii="Verdana" w:hAnsi="Verdana" w:cs="Arial"/>
          <w:b/>
          <w:sz w:val="18"/>
          <w:szCs w:val="18"/>
          <w:highlight w:val="lightGray"/>
          <w:u w:val="single"/>
        </w:rPr>
        <w:t xml:space="preserve">3.1. </w:t>
      </w:r>
      <w:r w:rsidR="00E23297">
        <w:rPr>
          <w:rFonts w:ascii="Verdana" w:hAnsi="Verdana" w:cs="Arial"/>
          <w:b/>
          <w:sz w:val="18"/>
          <w:szCs w:val="18"/>
          <w:highlight w:val="lightGray"/>
          <w:u w:val="single"/>
        </w:rPr>
        <w:t>IGC erhöht für 2015/16 seine Vorhersage zur Weizenernte auf 731 Mio. t</w:t>
      </w:r>
    </w:p>
    <w:p w:rsidR="00E23297" w:rsidRPr="00820073" w:rsidRDefault="00E23297" w:rsidP="00820073">
      <w:pPr>
        <w:pStyle w:val="Default"/>
        <w:jc w:val="both"/>
        <w:rPr>
          <w:rFonts w:ascii="Century Gothic" w:hAnsi="Century Gothic"/>
          <w:sz w:val="18"/>
          <w:szCs w:val="18"/>
        </w:rPr>
      </w:pPr>
      <w:r w:rsidRPr="00820073">
        <w:rPr>
          <w:rFonts w:ascii="Century Gothic" w:hAnsi="Century Gothic"/>
          <w:sz w:val="18"/>
          <w:szCs w:val="18"/>
        </w:rPr>
        <w:t>Der Internationale Getreiderat (IGC) rechnet 2015/16 mit einer weltweiten Weizenerzeugung von 731 Mio. t. Das ist gegenüber der letzten Prognose eine Steigerung um 5 Mio. t. Auf die EU-28 entfällt davon mit 158,3 Mio. t ein Plus von 0,6 Mio. t. Der wel</w:t>
      </w:r>
      <w:r w:rsidR="001875F3">
        <w:rPr>
          <w:rFonts w:ascii="Century Gothic" w:hAnsi="Century Gothic"/>
          <w:sz w:val="18"/>
          <w:szCs w:val="18"/>
        </w:rPr>
        <w:t>tweite Weizenverbrauch sank hin</w:t>
      </w:r>
      <w:r w:rsidRPr="00820073">
        <w:rPr>
          <w:rFonts w:ascii="Century Gothic" w:hAnsi="Century Gothic"/>
          <w:sz w:val="18"/>
          <w:szCs w:val="18"/>
        </w:rPr>
        <w:t xml:space="preserve">gegen auf 719 (minus 1) Mio. t. Die globalen Lagerbestände erhöhte der Rat im Parallelgang zur Ernte um ebenfalls 5 auf 213 Mio. t. </w:t>
      </w:r>
    </w:p>
    <w:p w:rsidR="00E23297" w:rsidRPr="00820073" w:rsidRDefault="00E23297" w:rsidP="00820073">
      <w:pPr>
        <w:pStyle w:val="Default"/>
        <w:jc w:val="both"/>
        <w:rPr>
          <w:rFonts w:ascii="Century Gothic" w:hAnsi="Century Gothic"/>
          <w:sz w:val="18"/>
          <w:szCs w:val="18"/>
        </w:rPr>
      </w:pPr>
      <w:r w:rsidRPr="00820073">
        <w:rPr>
          <w:rFonts w:ascii="Century Gothic" w:hAnsi="Century Gothic"/>
          <w:sz w:val="18"/>
          <w:szCs w:val="18"/>
        </w:rPr>
        <w:t>Hingegen sank die Schätzung für die weltweite Maiserzeugung im laufenden Wirtschaftsjahr um 8 auf 959 Mio. t. Der Maisverbrauch soll global auf 968 (minus 6) Mio. t zurückgehen und würde damit weiterhin deutlich über der Erzeugung liegen. Die weltweiten Lagerbestände sieht der Rat nun bei 196 (minus 4) Mio. t. Insgesamt wird das Minus bei der Maisproduktion vor allem vom Weizen, aber auch von den anderen Getreidearten ausgeglic</w:t>
      </w:r>
      <w:r w:rsidR="001875F3">
        <w:rPr>
          <w:rFonts w:ascii="Century Gothic" w:hAnsi="Century Gothic"/>
          <w:sz w:val="18"/>
          <w:szCs w:val="18"/>
        </w:rPr>
        <w:t>hen. Die gesamten Getreideendbe</w:t>
      </w:r>
      <w:r w:rsidRPr="00820073">
        <w:rPr>
          <w:rFonts w:ascii="Century Gothic" w:hAnsi="Century Gothic"/>
          <w:sz w:val="18"/>
          <w:szCs w:val="18"/>
        </w:rPr>
        <w:t xml:space="preserve">stände per 30. Juni 2016 weltweit veranschlagt der Rat nun auf 455 (plus 1) Mio. t, das wäre der höchste Stand seit fast 30 Jahren. </w:t>
      </w:r>
    </w:p>
    <w:p w:rsidR="00E23297" w:rsidRPr="00820073" w:rsidRDefault="00E23297" w:rsidP="00820073">
      <w:pPr>
        <w:pStyle w:val="Default"/>
        <w:jc w:val="both"/>
        <w:rPr>
          <w:rFonts w:ascii="Century Gothic" w:hAnsi="Century Gothic"/>
          <w:sz w:val="18"/>
          <w:szCs w:val="18"/>
        </w:rPr>
      </w:pPr>
      <w:r w:rsidRPr="00820073">
        <w:rPr>
          <w:rFonts w:ascii="Century Gothic" w:hAnsi="Century Gothic"/>
          <w:sz w:val="18"/>
          <w:szCs w:val="18"/>
        </w:rPr>
        <w:t>Bei Sojabohnen soll eine etwas höher erwartete Ernte von 322 (plus 1) Mio. t nun auch zu einem höheren Verbrauch von 321 (plus 2) Mio. t führen. Gleichzeitig reduzierte der IGC die Anf</w:t>
      </w:r>
      <w:r w:rsidR="001875F3">
        <w:rPr>
          <w:rFonts w:ascii="Century Gothic" w:hAnsi="Century Gothic"/>
          <w:sz w:val="18"/>
          <w:szCs w:val="18"/>
        </w:rPr>
        <w:t>angs</w:t>
      </w:r>
      <w:r w:rsidRPr="00820073">
        <w:rPr>
          <w:rFonts w:ascii="Century Gothic" w:hAnsi="Century Gothic"/>
          <w:sz w:val="18"/>
          <w:szCs w:val="18"/>
        </w:rPr>
        <w:t xml:space="preserve">bestände an Soja auf 43 (minus 2) Mio. t. Die Endbestände sinken demzufolge gegenüber dem November auf 44 (minus 3) Mio. t. Dies wäre allerdings immer noch etwas mehr als im Vorjahr (43 Mio. t) und würde ein Allzeithoch darstellen. </w:t>
      </w:r>
    </w:p>
    <w:p w:rsidR="00C84C3E" w:rsidRPr="00820073" w:rsidRDefault="00E23297" w:rsidP="00820073">
      <w:pPr>
        <w:ind w:right="120"/>
        <w:jc w:val="both"/>
        <w:rPr>
          <w:rFonts w:ascii="Century Gothic" w:hAnsi="Century Gothic"/>
          <w:sz w:val="18"/>
          <w:szCs w:val="18"/>
        </w:rPr>
      </w:pPr>
      <w:r w:rsidRPr="00820073">
        <w:rPr>
          <w:rFonts w:ascii="Century Gothic" w:hAnsi="Century Gothic"/>
          <w:sz w:val="18"/>
          <w:szCs w:val="18"/>
        </w:rPr>
        <w:t xml:space="preserve">In einem ersten Ausblick auf 2016/ 17 schätzt der IGC, in der </w:t>
      </w:r>
      <w:r w:rsidR="001875F3">
        <w:rPr>
          <w:rFonts w:ascii="Century Gothic" w:hAnsi="Century Gothic"/>
          <w:sz w:val="18"/>
          <w:szCs w:val="18"/>
        </w:rPr>
        <w:t>noch mit großer Unsicherheit be</w:t>
      </w:r>
      <w:r w:rsidRPr="00820073">
        <w:rPr>
          <w:rFonts w:ascii="Century Gothic" w:hAnsi="Century Gothic"/>
          <w:sz w:val="18"/>
          <w:szCs w:val="18"/>
        </w:rPr>
        <w:t>hafteten Prognose, die weltweite Weizenproduktion im kommenden Wirtschaftsjahr auf 706 Mio. t, das wären 3 % weniger als im laufenden Jahr. Bei</w:t>
      </w:r>
      <w:r w:rsidR="001875F3">
        <w:rPr>
          <w:rFonts w:ascii="Century Gothic" w:hAnsi="Century Gothic"/>
          <w:sz w:val="18"/>
          <w:szCs w:val="18"/>
        </w:rPr>
        <w:t>m Verbrauch 2016/17 wird ein et</w:t>
      </w:r>
      <w:r w:rsidRPr="00820073">
        <w:rPr>
          <w:rFonts w:ascii="Century Gothic" w:hAnsi="Century Gothic"/>
          <w:sz w:val="18"/>
          <w:szCs w:val="18"/>
        </w:rPr>
        <w:t>was kleinerer Futterbedarf als im laufenden Jahr erwartet.</w:t>
      </w:r>
    </w:p>
    <w:p w:rsidR="00E23297" w:rsidRDefault="00E23297" w:rsidP="00E23297">
      <w:pPr>
        <w:ind w:right="120"/>
        <w:jc w:val="both"/>
        <w:rPr>
          <w:sz w:val="21"/>
          <w:szCs w:val="21"/>
        </w:rPr>
      </w:pPr>
    </w:p>
    <w:p w:rsidR="001875F3" w:rsidRDefault="001875F3" w:rsidP="00E23297">
      <w:pPr>
        <w:ind w:right="120"/>
        <w:jc w:val="both"/>
        <w:rPr>
          <w:sz w:val="21"/>
          <w:szCs w:val="21"/>
        </w:rPr>
      </w:pPr>
    </w:p>
    <w:p w:rsidR="00E23297" w:rsidRPr="00A46E05" w:rsidRDefault="00E23297" w:rsidP="00E23297">
      <w:pPr>
        <w:ind w:right="72"/>
        <w:jc w:val="both"/>
        <w:rPr>
          <w:rFonts w:ascii="Verdana" w:hAnsi="Verdana" w:cs="Arial"/>
          <w:b/>
          <w:sz w:val="18"/>
          <w:szCs w:val="18"/>
          <w:highlight w:val="lightGray"/>
          <w:u w:val="single"/>
        </w:rPr>
      </w:pPr>
      <w:r>
        <w:rPr>
          <w:rFonts w:ascii="Verdana" w:hAnsi="Verdana" w:cs="Arial"/>
          <w:b/>
          <w:sz w:val="18"/>
          <w:szCs w:val="18"/>
          <w:highlight w:val="lightGray"/>
          <w:u w:val="single"/>
        </w:rPr>
        <w:t>3.2</w:t>
      </w:r>
      <w:r>
        <w:rPr>
          <w:rFonts w:ascii="Verdana" w:hAnsi="Verdana" w:cs="Arial"/>
          <w:b/>
          <w:sz w:val="18"/>
          <w:szCs w:val="18"/>
          <w:highlight w:val="lightGray"/>
          <w:u w:val="single"/>
        </w:rPr>
        <w:t xml:space="preserve">. </w:t>
      </w:r>
      <w:r>
        <w:rPr>
          <w:rFonts w:ascii="Verdana" w:hAnsi="Verdana" w:cs="Arial"/>
          <w:b/>
          <w:sz w:val="18"/>
          <w:szCs w:val="18"/>
          <w:highlight w:val="lightGray"/>
          <w:u w:val="single"/>
        </w:rPr>
        <w:t>Tallage rechnet 2016/17 mit geringerer Weizenproduktion</w:t>
      </w:r>
    </w:p>
    <w:p w:rsidR="00DB3C1B" w:rsidRPr="00820073" w:rsidRDefault="00E23297" w:rsidP="008F1D96">
      <w:pPr>
        <w:ind w:right="72"/>
        <w:jc w:val="both"/>
        <w:rPr>
          <w:rFonts w:ascii="Century Gothic" w:hAnsi="Century Gothic"/>
          <w:sz w:val="18"/>
          <w:szCs w:val="18"/>
        </w:rPr>
      </w:pPr>
      <w:r w:rsidRPr="00820073">
        <w:rPr>
          <w:rFonts w:ascii="Century Gothic" w:hAnsi="Century Gothic"/>
          <w:sz w:val="18"/>
          <w:szCs w:val="18"/>
        </w:rPr>
        <w:t>Das französische Beratungsunternehmen Tallage hat seine Prognose für die europäische Weichweizenproduktion 2016/17 in seinem monatlichen Bericht „</w:t>
      </w:r>
      <w:proofErr w:type="spellStart"/>
      <w:r w:rsidRPr="00820073">
        <w:rPr>
          <w:rFonts w:ascii="Century Gothic" w:hAnsi="Century Gothic"/>
          <w:sz w:val="18"/>
          <w:szCs w:val="18"/>
        </w:rPr>
        <w:t>Stratégie</w:t>
      </w:r>
      <w:proofErr w:type="spellEnd"/>
      <w:r w:rsidRPr="00820073">
        <w:rPr>
          <w:rFonts w:ascii="Century Gothic" w:hAnsi="Century Gothic"/>
          <w:sz w:val="18"/>
          <w:szCs w:val="18"/>
        </w:rPr>
        <w:t xml:space="preserve"> </w:t>
      </w:r>
      <w:proofErr w:type="spellStart"/>
      <w:r w:rsidRPr="00820073">
        <w:rPr>
          <w:rFonts w:ascii="Century Gothic" w:hAnsi="Century Gothic"/>
          <w:sz w:val="18"/>
          <w:szCs w:val="18"/>
        </w:rPr>
        <w:t>Grains</w:t>
      </w:r>
      <w:proofErr w:type="spellEnd"/>
      <w:r w:rsidRPr="00820073">
        <w:rPr>
          <w:rFonts w:ascii="Century Gothic" w:hAnsi="Century Gothic"/>
          <w:sz w:val="18"/>
          <w:szCs w:val="18"/>
        </w:rPr>
        <w:t>“ auf 143,1 Mio. t gesenkt und damit zum Vormonat um 0,6 Mio. t nach unten korrigiert. Die gesamte Getreideerzeugung der EU 2016/17 sieht der Bericht bei 308,</w:t>
      </w:r>
      <w:r w:rsidR="001875F3">
        <w:rPr>
          <w:rFonts w:ascii="Century Gothic" w:hAnsi="Century Gothic"/>
          <w:sz w:val="18"/>
          <w:szCs w:val="18"/>
        </w:rPr>
        <w:t>8 Mio. t. Für das laufende Wirt</w:t>
      </w:r>
      <w:r w:rsidRPr="00820073">
        <w:rPr>
          <w:rFonts w:ascii="Century Gothic" w:hAnsi="Century Gothic"/>
          <w:sz w:val="18"/>
          <w:szCs w:val="18"/>
        </w:rPr>
        <w:t>schaftsjahr nimmt Tallage eine Weichweizenproduktion von 150,2 Mio. t an, und erhöht seine Schätzung damit zum Vormonat um 0,3 Mio. t.</w:t>
      </w:r>
    </w:p>
    <w:p w:rsidR="00820073" w:rsidRDefault="00820073" w:rsidP="008F1D96">
      <w:pPr>
        <w:ind w:right="72"/>
        <w:jc w:val="both"/>
        <w:rPr>
          <w:rFonts w:ascii="Century Gothic" w:hAnsi="Century Gothic"/>
          <w:sz w:val="18"/>
          <w:szCs w:val="18"/>
        </w:rPr>
      </w:pPr>
    </w:p>
    <w:p w:rsidR="001875F3" w:rsidRPr="008F1D96" w:rsidRDefault="001875F3" w:rsidP="008F1D96">
      <w:pPr>
        <w:ind w:right="72"/>
        <w:jc w:val="both"/>
        <w:rPr>
          <w:rFonts w:ascii="Century Gothic" w:hAnsi="Century Gothic"/>
          <w:sz w:val="18"/>
          <w:szCs w:val="18"/>
        </w:rPr>
      </w:pPr>
    </w:p>
    <w:p w:rsidR="00E23297" w:rsidRPr="00A46E05" w:rsidRDefault="00E23297" w:rsidP="00E23297">
      <w:pPr>
        <w:ind w:right="72"/>
        <w:jc w:val="both"/>
        <w:rPr>
          <w:rFonts w:ascii="Verdana" w:hAnsi="Verdana" w:cs="Arial"/>
          <w:b/>
          <w:sz w:val="18"/>
          <w:szCs w:val="18"/>
          <w:highlight w:val="lightGray"/>
          <w:u w:val="single"/>
        </w:rPr>
      </w:pPr>
      <w:r>
        <w:rPr>
          <w:rFonts w:ascii="Verdana" w:hAnsi="Verdana" w:cs="Arial"/>
          <w:b/>
          <w:sz w:val="18"/>
          <w:szCs w:val="18"/>
          <w:highlight w:val="lightGray"/>
          <w:u w:val="single"/>
        </w:rPr>
        <w:t>3.</w:t>
      </w:r>
      <w:r>
        <w:rPr>
          <w:rFonts w:ascii="Verdana" w:hAnsi="Verdana" w:cs="Arial"/>
          <w:b/>
          <w:sz w:val="18"/>
          <w:szCs w:val="18"/>
          <w:highlight w:val="lightGray"/>
          <w:u w:val="single"/>
        </w:rPr>
        <w:t>3</w:t>
      </w:r>
      <w:r>
        <w:rPr>
          <w:rFonts w:ascii="Verdana" w:hAnsi="Verdana" w:cs="Arial"/>
          <w:b/>
          <w:sz w:val="18"/>
          <w:szCs w:val="18"/>
          <w:highlight w:val="lightGray"/>
          <w:u w:val="single"/>
        </w:rPr>
        <w:t xml:space="preserve">. </w:t>
      </w:r>
      <w:r>
        <w:rPr>
          <w:rFonts w:ascii="Verdana" w:hAnsi="Verdana" w:cs="Arial"/>
          <w:b/>
          <w:sz w:val="18"/>
          <w:szCs w:val="18"/>
          <w:highlight w:val="lightGray"/>
          <w:u w:val="single"/>
        </w:rPr>
        <w:t>Aussaatfläche für Wintergetreide zur Ernte 2016 kaum verändert</w:t>
      </w:r>
    </w:p>
    <w:p w:rsidR="00E23297" w:rsidRPr="00820073" w:rsidRDefault="00E23297" w:rsidP="00820073">
      <w:pPr>
        <w:pStyle w:val="Default"/>
        <w:jc w:val="both"/>
        <w:rPr>
          <w:rFonts w:ascii="Century Gothic" w:hAnsi="Century Gothic"/>
          <w:sz w:val="18"/>
          <w:szCs w:val="18"/>
        </w:rPr>
      </w:pPr>
      <w:r w:rsidRPr="00820073">
        <w:rPr>
          <w:rFonts w:ascii="Century Gothic" w:hAnsi="Century Gothic"/>
          <w:sz w:val="18"/>
          <w:szCs w:val="18"/>
        </w:rPr>
        <w:t>Die vorläufige Aussaatfläche für Wintergetreide hat sich gegenüb</w:t>
      </w:r>
      <w:r w:rsidR="001875F3">
        <w:rPr>
          <w:rFonts w:ascii="Century Gothic" w:hAnsi="Century Gothic"/>
          <w:sz w:val="18"/>
          <w:szCs w:val="18"/>
        </w:rPr>
        <w:t>er dem Vorjahr unwesentlich ver</w:t>
      </w:r>
      <w:r w:rsidRPr="00820073">
        <w:rPr>
          <w:rFonts w:ascii="Century Gothic" w:hAnsi="Century Gothic"/>
          <w:sz w:val="18"/>
          <w:szCs w:val="18"/>
        </w:rPr>
        <w:t xml:space="preserve">ändert, Raps legte etwas zu. Wie das Statistische Bundesamt (Destatis) mitteilt, wurden im Herbst 2015 auf 5,49 Millionen Hektar Wintergetreide ausgesät. Die Winterweizenfläche legte dabei 0,3 Prozent oder knapp 10.000 auf 3,22 Millionen Hektar zu, die Aussaatfläche für Wintergerste um knapp 4,0 Prozent auf 1,30 Millionen Hektar. Die größten Flächenausdehnungen </w:t>
      </w:r>
      <w:r w:rsidR="001875F3">
        <w:rPr>
          <w:rFonts w:ascii="Century Gothic" w:hAnsi="Century Gothic"/>
          <w:sz w:val="18"/>
          <w:szCs w:val="18"/>
        </w:rPr>
        <w:t>gab es in Bran</w:t>
      </w:r>
      <w:r w:rsidRPr="00820073">
        <w:rPr>
          <w:rFonts w:ascii="Century Gothic" w:hAnsi="Century Gothic"/>
          <w:sz w:val="18"/>
          <w:szCs w:val="18"/>
        </w:rPr>
        <w:t xml:space="preserve">denburg mit gut + 8 % und in Niedersachsen mit </w:t>
      </w:r>
      <w:r w:rsidRPr="00820073">
        <w:rPr>
          <w:rFonts w:ascii="Century Gothic" w:hAnsi="Century Gothic"/>
          <w:sz w:val="18"/>
          <w:szCs w:val="18"/>
        </w:rPr>
        <w:lastRenderedPageBreak/>
        <w:t xml:space="preserve">rund + 7 %. Lediglich im Saarland und in Baden-Württemberg verringerte sich die Fläche um 5 % beziehungsweise 2 %. Ein deutlicher Rückgang ist bei der Aussaatfläche von Roggen und Wintermenggetreide zu beobachten. Die Fläche nimmt 580 000 Hektar ein, das ist ein Rückgang von 6 % (minus 35 100 Hektar). Die hochgerechneten Aussaatflächen beruhen auf Mitteilungen einer begrenzten Anzahl Ernteberichterstatter in den Bundesländern von Ende November 2015. </w:t>
      </w:r>
    </w:p>
    <w:p w:rsidR="00C84C3E" w:rsidRPr="00820073" w:rsidRDefault="00E23297" w:rsidP="00820073">
      <w:pPr>
        <w:ind w:right="120"/>
        <w:jc w:val="both"/>
        <w:rPr>
          <w:rFonts w:ascii="Century Gothic" w:hAnsi="Century Gothic"/>
          <w:sz w:val="18"/>
          <w:szCs w:val="18"/>
        </w:rPr>
      </w:pPr>
      <w:r w:rsidRPr="00820073">
        <w:rPr>
          <w:rFonts w:ascii="Century Gothic" w:hAnsi="Century Gothic"/>
          <w:sz w:val="18"/>
          <w:szCs w:val="18"/>
        </w:rPr>
        <w:t>Mit Winterraps haben die Landwirte in Deutschland 1,29 Millionen Hektar bestellt, so Destatis, das sind 8 800 Hektar mehr als im Jahr 2015. Die größte prozentuale Zunahme ist in Hessen mit gut + 10 % sowie in Nordrhein-Westfalen und im Saarland mit + 7 %</w:t>
      </w:r>
      <w:r w:rsidR="001875F3">
        <w:rPr>
          <w:rFonts w:ascii="Century Gothic" w:hAnsi="Century Gothic"/>
          <w:sz w:val="18"/>
          <w:szCs w:val="18"/>
        </w:rPr>
        <w:t xml:space="preserve"> festzustellen. Ein Flächenrück</w:t>
      </w:r>
      <w:r w:rsidRPr="00820073">
        <w:rPr>
          <w:rFonts w:ascii="Century Gothic" w:hAnsi="Century Gothic"/>
          <w:sz w:val="18"/>
          <w:szCs w:val="18"/>
        </w:rPr>
        <w:t>gang gab es hingegen in Bayern mit knapp – 10 % und in Sachsen-Anhalt mit gut – 5 %.</w:t>
      </w:r>
    </w:p>
    <w:p w:rsidR="00E23297" w:rsidRDefault="00E23297" w:rsidP="00E23297">
      <w:pPr>
        <w:ind w:right="120"/>
        <w:jc w:val="both"/>
        <w:rPr>
          <w:rFonts w:ascii="Century Gothic" w:hAnsi="Century Gothic"/>
          <w:sz w:val="18"/>
          <w:szCs w:val="18"/>
        </w:rPr>
      </w:pPr>
    </w:p>
    <w:p w:rsidR="00F4667F" w:rsidRPr="00CE0BB6" w:rsidRDefault="00F4667F" w:rsidP="00CE0BB6">
      <w:pPr>
        <w:ind w:right="120"/>
        <w:jc w:val="both"/>
        <w:rPr>
          <w:rFonts w:ascii="Century Gothic" w:hAnsi="Century Gothic" w:cs="Arial"/>
          <w:sz w:val="18"/>
          <w:szCs w:val="18"/>
        </w:rPr>
      </w:pPr>
    </w:p>
    <w:p w:rsidR="003B6BA0" w:rsidRPr="00F954E2" w:rsidRDefault="00F954E2" w:rsidP="003B6BA0">
      <w:pPr>
        <w:ind w:right="72"/>
        <w:jc w:val="both"/>
        <w:rPr>
          <w:rFonts w:ascii="Verdana" w:hAnsi="Verdana" w:cs="Arial"/>
          <w:b/>
          <w:sz w:val="22"/>
          <w:szCs w:val="22"/>
          <w:highlight w:val="darkYellow"/>
          <w:u w:val="single"/>
        </w:rPr>
      </w:pPr>
      <w:r w:rsidRPr="00F954E2">
        <w:rPr>
          <w:rFonts w:ascii="Verdana" w:hAnsi="Verdana" w:cs="Arial"/>
          <w:b/>
          <w:sz w:val="22"/>
          <w:szCs w:val="22"/>
          <w:highlight w:val="darkYellow"/>
          <w:u w:val="single"/>
        </w:rPr>
        <w:t xml:space="preserve">4. </w:t>
      </w:r>
      <w:r w:rsidR="00E23297">
        <w:rPr>
          <w:rFonts w:ascii="Verdana" w:hAnsi="Verdana" w:cs="Arial"/>
          <w:b/>
          <w:sz w:val="22"/>
          <w:szCs w:val="22"/>
          <w:highlight w:val="darkYellow"/>
          <w:u w:val="single"/>
        </w:rPr>
        <w:t>Biokraftstoffe</w:t>
      </w:r>
    </w:p>
    <w:p w:rsidR="00F4667F" w:rsidRPr="00A46E05" w:rsidRDefault="00F4667F" w:rsidP="00F4667F">
      <w:pPr>
        <w:ind w:right="72"/>
        <w:jc w:val="both"/>
        <w:rPr>
          <w:rFonts w:ascii="Verdana" w:hAnsi="Verdana" w:cs="Arial"/>
          <w:b/>
          <w:sz w:val="18"/>
          <w:szCs w:val="18"/>
          <w:highlight w:val="lightGray"/>
          <w:u w:val="single"/>
        </w:rPr>
      </w:pPr>
      <w:r>
        <w:rPr>
          <w:rFonts w:ascii="Verdana" w:hAnsi="Verdana" w:cs="Arial"/>
          <w:b/>
          <w:sz w:val="18"/>
          <w:szCs w:val="18"/>
          <w:highlight w:val="lightGray"/>
          <w:u w:val="single"/>
        </w:rPr>
        <w:t xml:space="preserve">4.1. </w:t>
      </w:r>
      <w:r w:rsidR="00E23297">
        <w:rPr>
          <w:rFonts w:ascii="Verdana" w:hAnsi="Verdana" w:cs="Arial"/>
          <w:b/>
          <w:sz w:val="18"/>
          <w:szCs w:val="18"/>
          <w:highlight w:val="lightGray"/>
          <w:u w:val="single"/>
        </w:rPr>
        <w:t>Deutschland liefert die meisten Ausgangsstoffe</w:t>
      </w:r>
    </w:p>
    <w:p w:rsidR="00E23297" w:rsidRPr="00820073" w:rsidRDefault="00E23297" w:rsidP="00820073">
      <w:pPr>
        <w:pStyle w:val="Default"/>
        <w:jc w:val="both"/>
        <w:rPr>
          <w:rFonts w:ascii="Century Gothic" w:hAnsi="Century Gothic"/>
          <w:sz w:val="18"/>
          <w:szCs w:val="18"/>
        </w:rPr>
      </w:pPr>
      <w:r w:rsidRPr="00820073">
        <w:rPr>
          <w:rFonts w:ascii="Century Gothic" w:hAnsi="Century Gothic"/>
          <w:sz w:val="18"/>
          <w:szCs w:val="18"/>
        </w:rPr>
        <w:t>Im Jahr 2014 erreichten Biokraftstof</w:t>
      </w:r>
      <w:r w:rsidR="001875F3">
        <w:rPr>
          <w:rFonts w:ascii="Century Gothic" w:hAnsi="Century Gothic"/>
          <w:sz w:val="18"/>
          <w:szCs w:val="18"/>
        </w:rPr>
        <w:t>fe gegenüber fossilen Kraftstof</w:t>
      </w:r>
      <w:r w:rsidRPr="00820073">
        <w:rPr>
          <w:rFonts w:ascii="Century Gothic" w:hAnsi="Century Gothic"/>
          <w:sz w:val="18"/>
          <w:szCs w:val="18"/>
        </w:rPr>
        <w:t>fen eine Einsparung der Treibhausgasemissionen um 51 %. Biodi</w:t>
      </w:r>
      <w:r w:rsidR="001875F3">
        <w:rPr>
          <w:rFonts w:ascii="Century Gothic" w:hAnsi="Century Gothic"/>
          <w:sz w:val="18"/>
          <w:szCs w:val="18"/>
        </w:rPr>
        <w:t>e</w:t>
      </w:r>
      <w:r w:rsidRPr="00820073">
        <w:rPr>
          <w:rFonts w:ascii="Century Gothic" w:hAnsi="Century Gothic"/>
          <w:sz w:val="18"/>
          <w:szCs w:val="18"/>
        </w:rPr>
        <w:t>sel und Bioethanol waren am me</w:t>
      </w:r>
      <w:r w:rsidR="001875F3">
        <w:rPr>
          <w:rFonts w:ascii="Century Gothic" w:hAnsi="Century Gothic"/>
          <w:sz w:val="18"/>
          <w:szCs w:val="18"/>
        </w:rPr>
        <w:t>isten im Umlauf. Dabei wurde ge</w:t>
      </w:r>
      <w:r w:rsidRPr="00820073">
        <w:rPr>
          <w:rFonts w:ascii="Century Gothic" w:hAnsi="Century Gothic"/>
          <w:sz w:val="18"/>
          <w:szCs w:val="18"/>
        </w:rPr>
        <w:t xml:space="preserve">genüber 2013 vor allem weniger </w:t>
      </w:r>
      <w:r w:rsidR="001875F3">
        <w:rPr>
          <w:rFonts w:ascii="Century Gothic" w:hAnsi="Century Gothic"/>
          <w:sz w:val="18"/>
          <w:szCs w:val="18"/>
        </w:rPr>
        <w:t>Soja, Palmöl und Zuckerrohr ein</w:t>
      </w:r>
      <w:r w:rsidRPr="00820073">
        <w:rPr>
          <w:rFonts w:ascii="Century Gothic" w:hAnsi="Century Gothic"/>
          <w:sz w:val="18"/>
          <w:szCs w:val="18"/>
        </w:rPr>
        <w:t>gesetzt. Insgesamt stammen 31 % der Ausgangsstoffe aus Deutschland. Das geht aus dem a</w:t>
      </w:r>
      <w:r w:rsidR="001875F3">
        <w:rPr>
          <w:rFonts w:ascii="Century Gothic" w:hAnsi="Century Gothic"/>
          <w:sz w:val="18"/>
          <w:szCs w:val="18"/>
        </w:rPr>
        <w:t>ktuellen Evaluations- und Erfah</w:t>
      </w:r>
      <w:r w:rsidRPr="00820073">
        <w:rPr>
          <w:rFonts w:ascii="Century Gothic" w:hAnsi="Century Gothic"/>
          <w:sz w:val="18"/>
          <w:szCs w:val="18"/>
        </w:rPr>
        <w:t xml:space="preserve">rungsbericht der Bundesanstalt für Landwirtschaft und Ernährung (BLE) hervor. </w:t>
      </w:r>
    </w:p>
    <w:p w:rsidR="00E23297" w:rsidRPr="00820073" w:rsidRDefault="00E23297" w:rsidP="00820073">
      <w:pPr>
        <w:pStyle w:val="Default"/>
        <w:jc w:val="both"/>
        <w:rPr>
          <w:rFonts w:ascii="Century Gothic" w:hAnsi="Century Gothic"/>
          <w:sz w:val="18"/>
          <w:szCs w:val="18"/>
        </w:rPr>
      </w:pPr>
      <w:r w:rsidRPr="00820073">
        <w:rPr>
          <w:rFonts w:ascii="Century Gothic" w:hAnsi="Century Gothic"/>
          <w:sz w:val="18"/>
          <w:szCs w:val="18"/>
        </w:rPr>
        <w:t xml:space="preserve">Der größtenteils aus Raps gewonnene Biodiesel war mit knapp 61 % der Hauptbestandteil aller </w:t>
      </w:r>
      <w:r w:rsidR="001875F3">
        <w:rPr>
          <w:rFonts w:ascii="Century Gothic" w:hAnsi="Century Gothic"/>
          <w:sz w:val="18"/>
          <w:szCs w:val="18"/>
        </w:rPr>
        <w:t>auf die Biokraftstoffquote ange</w:t>
      </w:r>
      <w:r w:rsidRPr="00820073">
        <w:rPr>
          <w:rFonts w:ascii="Century Gothic" w:hAnsi="Century Gothic"/>
          <w:sz w:val="18"/>
          <w:szCs w:val="18"/>
        </w:rPr>
        <w:t xml:space="preserve">rechneten Biokraftstoffe. Zweitwichtigste Ausgangsstoffe waren Abfälle und Reststoffe. Der Einsatz von Palmöl und Soja verringerte sich auffällig. Bei Soja ging er auf nur noch knapp ein Viertel zurück, bei Palmöl um 27 %. </w:t>
      </w:r>
    </w:p>
    <w:p w:rsidR="00E23297" w:rsidRPr="00820073" w:rsidRDefault="00E23297" w:rsidP="00820073">
      <w:pPr>
        <w:pStyle w:val="Default"/>
        <w:jc w:val="both"/>
        <w:rPr>
          <w:rFonts w:ascii="Century Gothic" w:hAnsi="Century Gothic"/>
          <w:sz w:val="18"/>
          <w:szCs w:val="18"/>
        </w:rPr>
      </w:pPr>
      <w:r w:rsidRPr="00820073">
        <w:rPr>
          <w:rFonts w:ascii="Century Gothic" w:hAnsi="Century Gothic"/>
          <w:sz w:val="18"/>
          <w:szCs w:val="18"/>
        </w:rPr>
        <w:t xml:space="preserve">Bioethanol war der zweitwichtigste Biokraftstoff, er wurde hauptsächlich aus Mais und Weizen hergestellt. Der Anteil aus Zuckerrüben blieb trotz eines Rückgangs um gut 50 % an dritter Stelle. </w:t>
      </w:r>
    </w:p>
    <w:p w:rsidR="00E23297" w:rsidRPr="00820073" w:rsidRDefault="00E23297" w:rsidP="00820073">
      <w:pPr>
        <w:pStyle w:val="Default"/>
        <w:jc w:val="both"/>
        <w:rPr>
          <w:rFonts w:ascii="Century Gothic" w:hAnsi="Century Gothic"/>
          <w:sz w:val="18"/>
          <w:szCs w:val="18"/>
        </w:rPr>
      </w:pPr>
      <w:r w:rsidRPr="00820073">
        <w:rPr>
          <w:rFonts w:ascii="Century Gothic" w:hAnsi="Century Gothic"/>
          <w:sz w:val="18"/>
          <w:szCs w:val="18"/>
        </w:rPr>
        <w:t xml:space="preserve">Rund 31 % der Ausgangstoffe stammen aus Deutschland. Somit erhöhte sich der deutsche Anteil im Vergleich zum Vorjahr um neun Prozentpunkte. Rund 44 % kommen aus anderen EU-Staaten, der Rest aus Drittstaaten. </w:t>
      </w:r>
    </w:p>
    <w:p w:rsidR="00E23297" w:rsidRPr="00820073" w:rsidRDefault="00E23297" w:rsidP="00820073">
      <w:pPr>
        <w:pStyle w:val="Default"/>
        <w:jc w:val="both"/>
        <w:rPr>
          <w:rFonts w:ascii="Century Gothic" w:hAnsi="Century Gothic"/>
          <w:sz w:val="18"/>
          <w:szCs w:val="18"/>
        </w:rPr>
      </w:pPr>
      <w:r w:rsidRPr="00820073">
        <w:rPr>
          <w:rFonts w:ascii="Century Gothic" w:hAnsi="Century Gothic"/>
          <w:sz w:val="18"/>
          <w:szCs w:val="18"/>
        </w:rPr>
        <w:t xml:space="preserve">Den Evaluations- und Erfahrungsbericht 2014 steht unter folgenden Link zum Download bereit: </w:t>
      </w:r>
    </w:p>
    <w:p w:rsidR="00557377" w:rsidRPr="00820073" w:rsidRDefault="00E23297" w:rsidP="00820073">
      <w:pPr>
        <w:ind w:right="-60"/>
        <w:jc w:val="both"/>
        <w:rPr>
          <w:rFonts w:ascii="Century Gothic" w:hAnsi="Century Gothic"/>
          <w:sz w:val="18"/>
          <w:szCs w:val="18"/>
        </w:rPr>
      </w:pPr>
      <w:hyperlink r:id="rId26" w:history="1">
        <w:r w:rsidRPr="00820073">
          <w:rPr>
            <w:rStyle w:val="Hyperlink"/>
            <w:rFonts w:ascii="Century Gothic" w:hAnsi="Century Gothic"/>
            <w:sz w:val="18"/>
            <w:szCs w:val="18"/>
          </w:rPr>
          <w:t>www.ble.de/NachhaltigeBiomasseherstellung/</w:t>
        </w:r>
      </w:hyperlink>
    </w:p>
    <w:p w:rsidR="00E23297" w:rsidRPr="00820073" w:rsidRDefault="00E23297" w:rsidP="00820073">
      <w:pPr>
        <w:ind w:right="-60"/>
        <w:jc w:val="both"/>
        <w:rPr>
          <w:rFonts w:ascii="Century Gothic" w:hAnsi="Century Gothic"/>
          <w:sz w:val="18"/>
          <w:szCs w:val="18"/>
        </w:rPr>
      </w:pPr>
    </w:p>
    <w:p w:rsidR="00E23297" w:rsidRDefault="00E23297" w:rsidP="00E23297">
      <w:pPr>
        <w:ind w:right="-60"/>
        <w:jc w:val="both"/>
        <w:rPr>
          <w:rFonts w:ascii="Century Gothic" w:hAnsi="Century Gothic"/>
          <w:sz w:val="18"/>
          <w:szCs w:val="18"/>
        </w:rPr>
      </w:pPr>
    </w:p>
    <w:p w:rsidR="00F4667F" w:rsidRPr="00A46E05" w:rsidRDefault="00F4667F" w:rsidP="00F4667F">
      <w:pPr>
        <w:ind w:right="72"/>
        <w:jc w:val="both"/>
        <w:rPr>
          <w:rFonts w:ascii="Verdana" w:hAnsi="Verdana" w:cs="Arial"/>
          <w:b/>
          <w:sz w:val="18"/>
          <w:szCs w:val="18"/>
          <w:highlight w:val="lightGray"/>
          <w:u w:val="single"/>
        </w:rPr>
      </w:pPr>
      <w:r>
        <w:rPr>
          <w:rFonts w:ascii="Verdana" w:hAnsi="Verdana" w:cs="Arial"/>
          <w:b/>
          <w:sz w:val="18"/>
          <w:szCs w:val="18"/>
          <w:highlight w:val="lightGray"/>
          <w:u w:val="single"/>
        </w:rPr>
        <w:t xml:space="preserve">4.2. </w:t>
      </w:r>
      <w:r w:rsidR="00E23297">
        <w:rPr>
          <w:rFonts w:ascii="Verdana" w:hAnsi="Verdana" w:cs="Arial"/>
          <w:b/>
          <w:sz w:val="18"/>
          <w:szCs w:val="18"/>
          <w:highlight w:val="lightGray"/>
          <w:u w:val="single"/>
        </w:rPr>
        <w:t>Marktanteil von Biodiesel seit 2010 um 21 % zurückgegangen</w:t>
      </w:r>
    </w:p>
    <w:p w:rsidR="00557377" w:rsidRPr="008F1D96" w:rsidRDefault="00F36595" w:rsidP="008F1D96">
      <w:pPr>
        <w:ind w:right="72"/>
        <w:jc w:val="both"/>
        <w:rPr>
          <w:rFonts w:ascii="Century Gothic" w:hAnsi="Century Gothic"/>
          <w:sz w:val="18"/>
          <w:szCs w:val="18"/>
        </w:rPr>
      </w:pPr>
      <w:r>
        <w:rPr>
          <w:rFonts w:ascii="Century Gothic" w:hAnsi="Century Gothic"/>
          <w:sz w:val="18"/>
          <w:szCs w:val="18"/>
        </w:rPr>
        <w:t>Der Anteil von Biodiesel am deutschen Dieselmarkt ist im Vergleich zum Jahr 2010 um rund 21 % gesunken, das meldet der Verband der Deutschen Biokraftstoffindustrie e. V. (VDB). Während demnach der Dieselabsatz in diesem Zeitraum entgegen den Prognosen um rund 12 % gewachsen ist, nahm der Anteil von Biokraftstoffen drastisch ab. Laut VDB ist das mit ein Grund für die steigenden Emissionen, denn der Treibhausgasausstoß im Verkehrssektor ist</w:t>
      </w:r>
      <w:r w:rsidR="001875F3">
        <w:rPr>
          <w:rFonts w:ascii="Century Gothic" w:hAnsi="Century Gothic"/>
          <w:sz w:val="18"/>
          <w:szCs w:val="18"/>
        </w:rPr>
        <w:t xml:space="preserve"> in den vergangenen J</w:t>
      </w:r>
      <w:r>
        <w:rPr>
          <w:rFonts w:ascii="Century Gothic" w:hAnsi="Century Gothic"/>
          <w:sz w:val="18"/>
          <w:szCs w:val="18"/>
        </w:rPr>
        <w:t xml:space="preserve">ahren gewachsen, anders als im Strom- und Wärmebereich. Er macht etwa ein Fünftel </w:t>
      </w:r>
      <w:r>
        <w:rPr>
          <w:rFonts w:ascii="Century Gothic" w:hAnsi="Century Gothic"/>
          <w:sz w:val="18"/>
          <w:szCs w:val="18"/>
        </w:rPr>
        <w:lastRenderedPageBreak/>
        <w:t>der deutschen Treibhausgasemissionen aus. Die deutschen Klimaziele können nach Aussage des VDB jedoch nur erreicht werden, wenn auch der Verkehrssektor einen bedeutsamen Beitrag leistet.</w:t>
      </w:r>
    </w:p>
    <w:p w:rsidR="00557377" w:rsidRDefault="00557377" w:rsidP="008F1D96">
      <w:pPr>
        <w:ind w:right="72"/>
        <w:jc w:val="both"/>
        <w:rPr>
          <w:rFonts w:ascii="Century Gothic" w:hAnsi="Century Gothic"/>
          <w:sz w:val="18"/>
          <w:szCs w:val="18"/>
        </w:rPr>
      </w:pPr>
    </w:p>
    <w:p w:rsidR="00A010F0" w:rsidRDefault="00A010F0" w:rsidP="008F1D96">
      <w:pPr>
        <w:ind w:right="72"/>
        <w:jc w:val="both"/>
        <w:rPr>
          <w:rFonts w:ascii="Century Gothic" w:hAnsi="Century Gothic"/>
          <w:sz w:val="18"/>
          <w:szCs w:val="18"/>
        </w:rPr>
      </w:pPr>
    </w:p>
    <w:p w:rsidR="00557377" w:rsidRPr="001875F3" w:rsidRDefault="005E4B52" w:rsidP="00F36595">
      <w:pPr>
        <w:ind w:right="72"/>
        <w:jc w:val="both"/>
        <w:rPr>
          <w:rFonts w:ascii="Verdana" w:hAnsi="Verdana"/>
          <w:b/>
          <w:sz w:val="18"/>
          <w:szCs w:val="18"/>
          <w:highlight w:val="lightGray"/>
          <w:u w:val="single"/>
        </w:rPr>
      </w:pPr>
      <w:r w:rsidRPr="001875F3">
        <w:rPr>
          <w:rFonts w:ascii="Verdana" w:hAnsi="Verdana"/>
          <w:b/>
          <w:sz w:val="18"/>
          <w:szCs w:val="18"/>
          <w:highlight w:val="lightGray"/>
          <w:u w:val="single"/>
        </w:rPr>
        <w:t xml:space="preserve">4.3. </w:t>
      </w:r>
      <w:r w:rsidR="00F36595" w:rsidRPr="001875F3">
        <w:rPr>
          <w:rFonts w:ascii="Verdana" w:hAnsi="Verdana"/>
          <w:b/>
          <w:sz w:val="18"/>
          <w:szCs w:val="18"/>
          <w:highlight w:val="lightGray"/>
          <w:u w:val="single"/>
        </w:rPr>
        <w:t>Veranstaltungshinweise</w:t>
      </w:r>
    </w:p>
    <w:p w:rsidR="00F36595" w:rsidRPr="00DB3C1B" w:rsidRDefault="00F36595" w:rsidP="00F36595">
      <w:pPr>
        <w:ind w:right="72"/>
        <w:jc w:val="both"/>
        <w:rPr>
          <w:rFonts w:ascii="Verdana" w:hAnsi="Verdana"/>
          <w:b/>
          <w:sz w:val="18"/>
          <w:szCs w:val="18"/>
          <w:u w:val="single"/>
        </w:rPr>
      </w:pPr>
      <w:r w:rsidRPr="001875F3">
        <w:rPr>
          <w:rFonts w:ascii="Verdana" w:hAnsi="Verdana"/>
          <w:b/>
          <w:sz w:val="18"/>
          <w:szCs w:val="18"/>
          <w:highlight w:val="lightGray"/>
          <w:u w:val="single"/>
        </w:rPr>
        <w:t>Erfahrungsaustausch Biomassenachhaltigkeitsverordnung am 10. Februar 2016 auf Burg Warberg</w:t>
      </w:r>
    </w:p>
    <w:p w:rsidR="00557377" w:rsidRPr="00820073" w:rsidRDefault="00F36595" w:rsidP="00557377">
      <w:pPr>
        <w:ind w:right="-60"/>
        <w:jc w:val="both"/>
        <w:rPr>
          <w:rFonts w:ascii="Century Gothic" w:hAnsi="Century Gothic"/>
          <w:sz w:val="18"/>
          <w:szCs w:val="18"/>
        </w:rPr>
      </w:pPr>
      <w:r w:rsidRPr="00820073">
        <w:rPr>
          <w:rFonts w:ascii="Century Gothic" w:hAnsi="Century Gothic"/>
          <w:sz w:val="18"/>
          <w:szCs w:val="18"/>
        </w:rPr>
        <w:t>Die Bundeslehranstalt Burg Warberg lädt bereits zum 6. Mal zu einem Erfahrungsaustausch ein. Kernthemen werden sein: Status quo der Nachhaltigkeitszertifizierung, Einführung und Umsetzung von REDcert² und Erfahrungen aus Sicht der Zertifizierungsstellen. Neben REDcert werden auch Vertreter von Zertifizierungsstellen über bisherige Erfahrungen, neue Entwicklungen und Stand der Umsetzung der Nachhaltigkeitszertifizierung referieren.</w:t>
      </w:r>
    </w:p>
    <w:p w:rsidR="00F36595" w:rsidRPr="00820073" w:rsidRDefault="00F36595" w:rsidP="00557377">
      <w:pPr>
        <w:ind w:right="-60"/>
        <w:jc w:val="both"/>
        <w:rPr>
          <w:rFonts w:ascii="Century Gothic" w:hAnsi="Century Gothic"/>
          <w:sz w:val="18"/>
          <w:szCs w:val="18"/>
        </w:rPr>
      </w:pPr>
      <w:r w:rsidRPr="00820073">
        <w:rPr>
          <w:rFonts w:ascii="Century Gothic" w:hAnsi="Century Gothic"/>
          <w:sz w:val="18"/>
          <w:szCs w:val="18"/>
        </w:rPr>
        <w:t>Anmeldungen bitte ausschließlich an die Burg Warberg: Tel.: 05355-961100, Fax: 05355-961300, E-Mail: seminar@burg-warberg.de.</w:t>
      </w:r>
    </w:p>
    <w:p w:rsidR="00557377" w:rsidRDefault="00557377" w:rsidP="00D43E37">
      <w:pPr>
        <w:ind w:right="-60"/>
        <w:jc w:val="both"/>
        <w:rPr>
          <w:rFonts w:ascii="Century Gothic" w:hAnsi="Century Gothic"/>
          <w:sz w:val="18"/>
          <w:szCs w:val="18"/>
        </w:rPr>
      </w:pPr>
    </w:p>
    <w:p w:rsidR="000E4C16" w:rsidRDefault="000E4C16" w:rsidP="00D43E37">
      <w:pPr>
        <w:ind w:right="-60"/>
        <w:jc w:val="both"/>
        <w:rPr>
          <w:rFonts w:ascii="Century Gothic" w:hAnsi="Century Gothic"/>
          <w:sz w:val="18"/>
          <w:szCs w:val="18"/>
        </w:rPr>
      </w:pPr>
    </w:p>
    <w:p w:rsidR="00557377" w:rsidRDefault="00557377" w:rsidP="00D43E37">
      <w:pPr>
        <w:ind w:right="-60"/>
        <w:jc w:val="both"/>
        <w:rPr>
          <w:rFonts w:ascii="Century Gothic" w:hAnsi="Century Gothic"/>
          <w:sz w:val="18"/>
          <w:szCs w:val="18"/>
        </w:rPr>
      </w:pPr>
    </w:p>
    <w:p w:rsidR="00D43E37" w:rsidRDefault="00D43E37" w:rsidP="00D43E37">
      <w:pPr>
        <w:ind w:right="-56"/>
        <w:jc w:val="both"/>
        <w:rPr>
          <w:rFonts w:ascii="Verdana" w:hAnsi="Verdana" w:cs="Arial"/>
          <w:b/>
          <w:bCs/>
          <w:iCs/>
          <w:sz w:val="22"/>
          <w:szCs w:val="22"/>
          <w:u w:val="single"/>
        </w:rPr>
      </w:pPr>
      <w:r w:rsidRPr="001875F3">
        <w:rPr>
          <w:rFonts w:ascii="Verdana" w:hAnsi="Verdana" w:cs="Arial"/>
          <w:b/>
          <w:bCs/>
          <w:iCs/>
          <w:sz w:val="22"/>
          <w:szCs w:val="22"/>
          <w:highlight w:val="darkYellow"/>
          <w:u w:val="single"/>
        </w:rPr>
        <w:t xml:space="preserve">5. </w:t>
      </w:r>
      <w:r w:rsidR="00F36595" w:rsidRPr="001875F3">
        <w:rPr>
          <w:rFonts w:ascii="Verdana" w:hAnsi="Verdana" w:cs="Arial"/>
          <w:b/>
          <w:bCs/>
          <w:iCs/>
          <w:sz w:val="22"/>
          <w:szCs w:val="22"/>
          <w:highlight w:val="darkYellow"/>
          <w:u w:val="single"/>
        </w:rPr>
        <w:t>Förderperiode 2016: Änderung der Richtlinie De-minimis (DM)</w:t>
      </w:r>
    </w:p>
    <w:p w:rsidR="00F36595" w:rsidRDefault="00F36595" w:rsidP="00820073">
      <w:pPr>
        <w:pStyle w:val="Default"/>
        <w:jc w:val="both"/>
        <w:rPr>
          <w:rFonts w:ascii="Century Gothic" w:hAnsi="Century Gothic"/>
          <w:sz w:val="18"/>
          <w:szCs w:val="18"/>
        </w:rPr>
      </w:pPr>
      <w:r w:rsidRPr="00820073">
        <w:rPr>
          <w:rFonts w:ascii="Century Gothic" w:hAnsi="Century Gothic"/>
          <w:sz w:val="18"/>
          <w:szCs w:val="18"/>
        </w:rPr>
        <w:t>Die Richtlinie über die Förderung der Sicherheit und Umwelt i</w:t>
      </w:r>
      <w:r w:rsidR="001875F3">
        <w:rPr>
          <w:rFonts w:ascii="Century Gothic" w:hAnsi="Century Gothic"/>
          <w:sz w:val="18"/>
          <w:szCs w:val="18"/>
        </w:rPr>
        <w:t>n Unternehmen des Güterkraftver</w:t>
      </w:r>
      <w:r w:rsidRPr="00820073">
        <w:rPr>
          <w:rFonts w:ascii="Century Gothic" w:hAnsi="Century Gothic"/>
          <w:sz w:val="18"/>
          <w:szCs w:val="18"/>
        </w:rPr>
        <w:t>kehrs mit schweren Nutzfahrzeugen vom 15. Dezember wurd</w:t>
      </w:r>
      <w:r w:rsidR="001875F3">
        <w:rPr>
          <w:rFonts w:ascii="Century Gothic" w:hAnsi="Century Gothic"/>
          <w:sz w:val="18"/>
          <w:szCs w:val="18"/>
        </w:rPr>
        <w:t>e am 5. Januar 2016 im Bundesan</w:t>
      </w:r>
      <w:r w:rsidRPr="00820073">
        <w:rPr>
          <w:rFonts w:ascii="Century Gothic" w:hAnsi="Century Gothic"/>
          <w:sz w:val="18"/>
          <w:szCs w:val="18"/>
        </w:rPr>
        <w:t xml:space="preserve">zeiger veröffentlicht. </w:t>
      </w:r>
    </w:p>
    <w:p w:rsidR="000E4C16" w:rsidRPr="00820073" w:rsidRDefault="000E4C16" w:rsidP="00820073">
      <w:pPr>
        <w:pStyle w:val="Default"/>
        <w:jc w:val="both"/>
        <w:rPr>
          <w:rFonts w:ascii="Century Gothic" w:hAnsi="Century Gothic"/>
          <w:sz w:val="18"/>
          <w:szCs w:val="18"/>
        </w:rPr>
      </w:pPr>
    </w:p>
    <w:p w:rsidR="00F36595" w:rsidRPr="00820073" w:rsidRDefault="00F36595" w:rsidP="00820073">
      <w:pPr>
        <w:pStyle w:val="Default"/>
        <w:jc w:val="both"/>
        <w:rPr>
          <w:rFonts w:ascii="Century Gothic" w:hAnsi="Century Gothic"/>
          <w:sz w:val="18"/>
          <w:szCs w:val="18"/>
        </w:rPr>
      </w:pPr>
      <w:r w:rsidRPr="00820073">
        <w:rPr>
          <w:rFonts w:ascii="Century Gothic" w:hAnsi="Century Gothic"/>
          <w:sz w:val="18"/>
          <w:szCs w:val="18"/>
        </w:rPr>
        <w:t>Anträge können ab dem 13. Januar 2016 bis zum 30. Septemb</w:t>
      </w:r>
      <w:r w:rsidR="001875F3">
        <w:rPr>
          <w:rFonts w:ascii="Century Gothic" w:hAnsi="Century Gothic"/>
          <w:sz w:val="18"/>
          <w:szCs w:val="18"/>
        </w:rPr>
        <w:t>er 2016 gestellt werden. Die An</w:t>
      </w:r>
      <w:r w:rsidRPr="00820073">
        <w:rPr>
          <w:rFonts w:ascii="Century Gothic" w:hAnsi="Century Gothic"/>
          <w:sz w:val="18"/>
          <w:szCs w:val="18"/>
        </w:rPr>
        <w:t>tragsstellung kann nur noch im elektronischen Antragsverfahr</w:t>
      </w:r>
      <w:r w:rsidR="001875F3">
        <w:rPr>
          <w:rFonts w:ascii="Century Gothic" w:hAnsi="Century Gothic"/>
          <w:sz w:val="18"/>
          <w:szCs w:val="18"/>
        </w:rPr>
        <w:t>en erfolgen. Der Förderhöchstbe</w:t>
      </w:r>
      <w:r w:rsidRPr="00820073">
        <w:rPr>
          <w:rFonts w:ascii="Century Gothic" w:hAnsi="Century Gothic"/>
          <w:sz w:val="18"/>
          <w:szCs w:val="18"/>
        </w:rPr>
        <w:t>trag je Unternehmen liegt weiterhin bei 33.000 Euro/Jahr, wobei die Fahrzeugzahl jetzt mit 2.000 statt wie bisher mit 1.000 Euro multipliziert wird. Der Höchstfö</w:t>
      </w:r>
      <w:r w:rsidR="001875F3">
        <w:rPr>
          <w:rFonts w:ascii="Century Gothic" w:hAnsi="Century Gothic"/>
          <w:sz w:val="18"/>
          <w:szCs w:val="18"/>
        </w:rPr>
        <w:t>rdersatz beträgt 80 % der zuwen</w:t>
      </w:r>
      <w:r w:rsidRPr="00820073">
        <w:rPr>
          <w:rFonts w:ascii="Century Gothic" w:hAnsi="Century Gothic"/>
          <w:sz w:val="18"/>
          <w:szCs w:val="18"/>
        </w:rPr>
        <w:t xml:space="preserve">dungsfähigen Kosten. Der maximale Fördersatz je schweres Nutzfahrzeug steigt auf 2.000 Euro. </w:t>
      </w:r>
    </w:p>
    <w:p w:rsidR="00F36595" w:rsidRDefault="00F36595" w:rsidP="00820073">
      <w:pPr>
        <w:pStyle w:val="Default"/>
        <w:jc w:val="both"/>
        <w:rPr>
          <w:rFonts w:ascii="Century Gothic" w:hAnsi="Century Gothic"/>
          <w:sz w:val="18"/>
          <w:szCs w:val="18"/>
        </w:rPr>
      </w:pPr>
      <w:r w:rsidRPr="00820073">
        <w:rPr>
          <w:rFonts w:ascii="Century Gothic" w:hAnsi="Century Gothic"/>
          <w:sz w:val="18"/>
          <w:szCs w:val="18"/>
        </w:rPr>
        <w:t xml:space="preserve">Folgende Punkte gilt es zu berücksichtigen: </w:t>
      </w:r>
    </w:p>
    <w:p w:rsidR="000E4C16" w:rsidRPr="00820073" w:rsidRDefault="000E4C16" w:rsidP="00820073">
      <w:pPr>
        <w:pStyle w:val="Default"/>
        <w:jc w:val="both"/>
        <w:rPr>
          <w:rFonts w:ascii="Century Gothic" w:hAnsi="Century Gothic"/>
          <w:sz w:val="18"/>
          <w:szCs w:val="18"/>
        </w:rPr>
      </w:pPr>
    </w:p>
    <w:p w:rsidR="00F36595" w:rsidRDefault="00F36595" w:rsidP="000E4C16">
      <w:pPr>
        <w:pStyle w:val="Default"/>
        <w:numPr>
          <w:ilvl w:val="0"/>
          <w:numId w:val="42"/>
        </w:numPr>
        <w:spacing w:after="75"/>
        <w:jc w:val="both"/>
        <w:rPr>
          <w:rFonts w:ascii="Century Gothic" w:hAnsi="Century Gothic"/>
          <w:sz w:val="18"/>
          <w:szCs w:val="18"/>
        </w:rPr>
      </w:pPr>
      <w:r w:rsidRPr="00820073">
        <w:rPr>
          <w:rFonts w:ascii="Century Gothic" w:hAnsi="Century Gothic"/>
          <w:sz w:val="18"/>
          <w:szCs w:val="18"/>
        </w:rPr>
        <w:t xml:space="preserve">Als schwere Nutzfahrzeuge im Sinne dieser Förderrichtlinie gelten Kraftfahrzeuge, die aus-schließlich für den Güterkraftverkehr bestimmt sind und deren zulässiges Gesamtgewicht mindestens 7,5 t beträgt, d.h. Fahrzeuge ab 7,5 t zulässiges Gesamtgewicht sind förderfähig. </w:t>
      </w:r>
    </w:p>
    <w:p w:rsidR="000E4C16" w:rsidRPr="00820073" w:rsidRDefault="000E4C16" w:rsidP="000E4C16">
      <w:pPr>
        <w:pStyle w:val="Default"/>
        <w:spacing w:after="75"/>
        <w:ind w:left="720"/>
        <w:jc w:val="both"/>
        <w:rPr>
          <w:rFonts w:ascii="Century Gothic" w:hAnsi="Century Gothic"/>
          <w:sz w:val="18"/>
          <w:szCs w:val="18"/>
        </w:rPr>
      </w:pPr>
    </w:p>
    <w:p w:rsidR="00F36595" w:rsidRPr="00820073" w:rsidRDefault="00F36595" w:rsidP="000E4C16">
      <w:pPr>
        <w:pStyle w:val="Default"/>
        <w:numPr>
          <w:ilvl w:val="0"/>
          <w:numId w:val="42"/>
        </w:numPr>
        <w:jc w:val="both"/>
        <w:rPr>
          <w:rFonts w:ascii="Century Gothic" w:hAnsi="Century Gothic"/>
          <w:sz w:val="18"/>
          <w:szCs w:val="18"/>
        </w:rPr>
      </w:pPr>
      <w:r w:rsidRPr="00820073">
        <w:rPr>
          <w:rFonts w:ascii="Century Gothic" w:hAnsi="Century Gothic"/>
          <w:sz w:val="18"/>
          <w:szCs w:val="18"/>
        </w:rPr>
        <w:t xml:space="preserve">Die beantragten Maßnahmen müssen dann innerhalb von drei Monaten durchgeführt und innerhalb von spätestens zwei Monaten abgerechnet werden. </w:t>
      </w:r>
    </w:p>
    <w:p w:rsidR="00F36595" w:rsidRPr="00F36595" w:rsidRDefault="00F36595" w:rsidP="00820073">
      <w:pPr>
        <w:autoSpaceDE w:val="0"/>
        <w:autoSpaceDN w:val="0"/>
        <w:adjustRightInd w:val="0"/>
        <w:jc w:val="both"/>
        <w:rPr>
          <w:rFonts w:ascii="Century Gothic" w:hAnsi="Century Gothic" w:cs="Symbol"/>
          <w:color w:val="000000"/>
          <w:sz w:val="18"/>
          <w:szCs w:val="18"/>
        </w:rPr>
      </w:pPr>
    </w:p>
    <w:p w:rsidR="00F36595" w:rsidRDefault="00F36595" w:rsidP="000E4C16">
      <w:pPr>
        <w:pStyle w:val="Listenabsatz"/>
        <w:numPr>
          <w:ilvl w:val="0"/>
          <w:numId w:val="42"/>
        </w:numPr>
        <w:autoSpaceDE w:val="0"/>
        <w:autoSpaceDN w:val="0"/>
        <w:adjustRightInd w:val="0"/>
        <w:spacing w:after="71"/>
        <w:jc w:val="both"/>
        <w:rPr>
          <w:rFonts w:ascii="Century Gothic" w:hAnsi="Century Gothic" w:cs="Arial"/>
          <w:color w:val="000000"/>
          <w:sz w:val="18"/>
          <w:szCs w:val="18"/>
        </w:rPr>
      </w:pPr>
      <w:r w:rsidRPr="000E4C16">
        <w:rPr>
          <w:rFonts w:ascii="Century Gothic" w:hAnsi="Century Gothic" w:cs="Arial"/>
          <w:color w:val="000000"/>
          <w:sz w:val="18"/>
          <w:szCs w:val="18"/>
        </w:rPr>
        <w:t>Förderfähig sind fahrzeug- und personenbezogene Maß</w:t>
      </w:r>
      <w:r w:rsidR="000E4C16">
        <w:rPr>
          <w:rFonts w:ascii="Century Gothic" w:hAnsi="Century Gothic" w:cs="Arial"/>
          <w:color w:val="000000"/>
          <w:sz w:val="18"/>
          <w:szCs w:val="18"/>
        </w:rPr>
        <w:t>nahmen sowie Maßnahmen zur Effi</w:t>
      </w:r>
      <w:r w:rsidRPr="000E4C16">
        <w:rPr>
          <w:rFonts w:ascii="Century Gothic" w:hAnsi="Century Gothic" w:cs="Arial"/>
          <w:color w:val="000000"/>
          <w:sz w:val="18"/>
          <w:szCs w:val="18"/>
        </w:rPr>
        <w:t xml:space="preserve">zienzsteigerung. Hierbei ist der Kauf, Miete und Leasing </w:t>
      </w:r>
      <w:r w:rsidR="000E4C16">
        <w:rPr>
          <w:rFonts w:ascii="Century Gothic" w:hAnsi="Century Gothic" w:cs="Arial"/>
          <w:color w:val="000000"/>
          <w:sz w:val="18"/>
          <w:szCs w:val="18"/>
        </w:rPr>
        <w:t>von Ausrüstungsgegenständen för</w:t>
      </w:r>
      <w:r w:rsidRPr="000E4C16">
        <w:rPr>
          <w:rFonts w:ascii="Century Gothic" w:hAnsi="Century Gothic" w:cs="Arial"/>
          <w:color w:val="000000"/>
          <w:sz w:val="18"/>
          <w:szCs w:val="18"/>
        </w:rPr>
        <w:t xml:space="preserve">derfähig. </w:t>
      </w:r>
    </w:p>
    <w:p w:rsidR="000E4C16" w:rsidRPr="000E4C16" w:rsidRDefault="000E4C16" w:rsidP="000E4C16">
      <w:pPr>
        <w:autoSpaceDE w:val="0"/>
        <w:autoSpaceDN w:val="0"/>
        <w:adjustRightInd w:val="0"/>
        <w:spacing w:after="71"/>
        <w:jc w:val="both"/>
        <w:rPr>
          <w:rFonts w:ascii="Century Gothic" w:hAnsi="Century Gothic" w:cs="Arial"/>
          <w:color w:val="000000"/>
          <w:sz w:val="18"/>
          <w:szCs w:val="18"/>
        </w:rPr>
      </w:pPr>
    </w:p>
    <w:p w:rsidR="00F36595" w:rsidRDefault="00F36595" w:rsidP="000E4C16">
      <w:pPr>
        <w:pStyle w:val="Listenabsatz"/>
        <w:numPr>
          <w:ilvl w:val="0"/>
          <w:numId w:val="42"/>
        </w:numPr>
        <w:autoSpaceDE w:val="0"/>
        <w:autoSpaceDN w:val="0"/>
        <w:adjustRightInd w:val="0"/>
        <w:jc w:val="both"/>
        <w:rPr>
          <w:rFonts w:ascii="Century Gothic" w:hAnsi="Century Gothic" w:cs="Arial"/>
          <w:color w:val="000000"/>
          <w:sz w:val="18"/>
          <w:szCs w:val="18"/>
        </w:rPr>
      </w:pPr>
      <w:r w:rsidRPr="000E4C16">
        <w:rPr>
          <w:rFonts w:ascii="Century Gothic" w:hAnsi="Century Gothic" w:cs="Arial"/>
          <w:color w:val="000000"/>
          <w:sz w:val="18"/>
          <w:szCs w:val="18"/>
        </w:rPr>
        <w:t>Wichtig ist, dass Maßnahmen, die durch Gesetze, Rech</w:t>
      </w:r>
      <w:r w:rsidR="000E4C16">
        <w:rPr>
          <w:rFonts w:ascii="Century Gothic" w:hAnsi="Century Gothic" w:cs="Arial"/>
          <w:color w:val="000000"/>
          <w:sz w:val="18"/>
          <w:szCs w:val="18"/>
        </w:rPr>
        <w:t>tsverordnungen oder Verwaltungs</w:t>
      </w:r>
      <w:r w:rsidRPr="000E4C16">
        <w:rPr>
          <w:rFonts w:ascii="Century Gothic" w:hAnsi="Century Gothic" w:cs="Arial"/>
          <w:color w:val="000000"/>
          <w:sz w:val="18"/>
          <w:szCs w:val="18"/>
        </w:rPr>
        <w:t xml:space="preserve">vorschriften verbindlich vorgeschrieben sind, nicht förderfähig sind. </w:t>
      </w:r>
      <w:r w:rsidRPr="000E4C16">
        <w:rPr>
          <w:rFonts w:ascii="Century Gothic" w:hAnsi="Century Gothic" w:cs="Arial"/>
          <w:color w:val="000000"/>
          <w:sz w:val="18"/>
          <w:szCs w:val="18"/>
        </w:rPr>
        <w:lastRenderedPageBreak/>
        <w:t>Insbe</w:t>
      </w:r>
      <w:r w:rsidR="000E4C16">
        <w:rPr>
          <w:rFonts w:ascii="Century Gothic" w:hAnsi="Century Gothic" w:cs="Arial"/>
          <w:color w:val="000000"/>
          <w:sz w:val="18"/>
          <w:szCs w:val="18"/>
        </w:rPr>
        <w:t>sondere die Förde</w:t>
      </w:r>
      <w:r w:rsidRPr="000E4C16">
        <w:rPr>
          <w:rFonts w:ascii="Century Gothic" w:hAnsi="Century Gothic" w:cs="Arial"/>
          <w:color w:val="000000"/>
          <w:sz w:val="18"/>
          <w:szCs w:val="18"/>
        </w:rPr>
        <w:t xml:space="preserve">rung der Berufskraftfahrerqualifizierung ist nicht mehr möglich. </w:t>
      </w:r>
    </w:p>
    <w:p w:rsidR="000E4C16" w:rsidRPr="000E4C16" w:rsidRDefault="000E4C16" w:rsidP="000E4C16">
      <w:pPr>
        <w:pStyle w:val="Listenabsatz"/>
        <w:autoSpaceDE w:val="0"/>
        <w:autoSpaceDN w:val="0"/>
        <w:adjustRightInd w:val="0"/>
        <w:jc w:val="both"/>
        <w:rPr>
          <w:rFonts w:ascii="Century Gothic" w:hAnsi="Century Gothic" w:cs="Arial"/>
          <w:color w:val="000000"/>
          <w:sz w:val="18"/>
          <w:szCs w:val="18"/>
        </w:rPr>
      </w:pPr>
    </w:p>
    <w:p w:rsidR="00F36595" w:rsidRDefault="00F36595" w:rsidP="00820073">
      <w:pPr>
        <w:autoSpaceDE w:val="0"/>
        <w:autoSpaceDN w:val="0"/>
        <w:adjustRightInd w:val="0"/>
        <w:jc w:val="both"/>
        <w:rPr>
          <w:rFonts w:ascii="Century Gothic" w:hAnsi="Century Gothic" w:cs="Arial"/>
          <w:color w:val="000000"/>
          <w:sz w:val="18"/>
          <w:szCs w:val="18"/>
        </w:rPr>
      </w:pPr>
      <w:r w:rsidRPr="00F36595">
        <w:rPr>
          <w:rFonts w:ascii="Century Gothic" w:hAnsi="Century Gothic" w:cs="Arial"/>
          <w:color w:val="000000"/>
          <w:sz w:val="18"/>
          <w:szCs w:val="18"/>
        </w:rPr>
        <w:t xml:space="preserve">Bewilligungsbehörde ist das Bundesamt für Güterverkehr (BAG). Ausführliche Informationen und Merkblätter zum Förderprogramm sind bereits auf der Internetseite des BAG www.bag.bund.de </w:t>
      </w:r>
      <w:r w:rsidR="000E4C16">
        <w:rPr>
          <w:rFonts w:ascii="Century Gothic" w:hAnsi="Century Gothic" w:cs="Arial"/>
          <w:color w:val="000000"/>
          <w:sz w:val="18"/>
          <w:szCs w:val="18"/>
        </w:rPr>
        <w:t>bereitgestellt</w:t>
      </w:r>
      <w:r w:rsidRPr="00F36595">
        <w:rPr>
          <w:rFonts w:ascii="Century Gothic" w:hAnsi="Century Gothic" w:cs="Arial"/>
          <w:color w:val="000000"/>
          <w:sz w:val="18"/>
          <w:szCs w:val="18"/>
        </w:rPr>
        <w:t xml:space="preserve">. </w:t>
      </w:r>
    </w:p>
    <w:p w:rsidR="000E4C16" w:rsidRPr="00F36595" w:rsidRDefault="000E4C16" w:rsidP="00820073">
      <w:pPr>
        <w:autoSpaceDE w:val="0"/>
        <w:autoSpaceDN w:val="0"/>
        <w:adjustRightInd w:val="0"/>
        <w:jc w:val="both"/>
        <w:rPr>
          <w:rFonts w:ascii="Century Gothic" w:hAnsi="Century Gothic" w:cs="Arial"/>
          <w:color w:val="000000"/>
          <w:sz w:val="18"/>
          <w:szCs w:val="18"/>
        </w:rPr>
      </w:pPr>
    </w:p>
    <w:p w:rsidR="00F36B11" w:rsidRPr="00820073" w:rsidRDefault="00F36595" w:rsidP="00820073">
      <w:pPr>
        <w:pStyle w:val="Default"/>
        <w:jc w:val="both"/>
        <w:rPr>
          <w:rFonts w:ascii="Century Gothic" w:hAnsi="Century Gothic"/>
          <w:sz w:val="18"/>
          <w:szCs w:val="18"/>
        </w:rPr>
      </w:pPr>
      <w:r w:rsidRPr="00820073">
        <w:rPr>
          <w:rFonts w:ascii="Century Gothic" w:hAnsi="Century Gothic"/>
          <w:sz w:val="18"/>
          <w:szCs w:val="18"/>
        </w:rPr>
        <w:t xml:space="preserve">Für Ihre Fragen steht Ihnen als Ansprechpartner Herr Martin </w:t>
      </w:r>
      <w:proofErr w:type="spellStart"/>
      <w:r w:rsidRPr="00820073">
        <w:rPr>
          <w:rFonts w:ascii="Century Gothic" w:hAnsi="Century Gothic"/>
          <w:sz w:val="18"/>
          <w:szCs w:val="18"/>
        </w:rPr>
        <w:t>Courbier</w:t>
      </w:r>
      <w:proofErr w:type="spellEnd"/>
      <w:r w:rsidRPr="00820073">
        <w:rPr>
          <w:rFonts w:ascii="Century Gothic" w:hAnsi="Century Gothic"/>
          <w:sz w:val="18"/>
          <w:szCs w:val="18"/>
        </w:rPr>
        <w:t xml:space="preserve"> vom BVA-Fachbereich Saatgut, Transport und Verkehr zur Verfügung, Telefon:</w:t>
      </w:r>
      <w:r w:rsidR="000E4C16">
        <w:rPr>
          <w:rFonts w:ascii="Century Gothic" w:hAnsi="Century Gothic"/>
          <w:sz w:val="18"/>
          <w:szCs w:val="18"/>
        </w:rPr>
        <w:t xml:space="preserve"> 030 / 2790 741-16, E-Mail: Mar</w:t>
      </w:r>
      <w:r w:rsidRPr="00820073">
        <w:rPr>
          <w:rFonts w:ascii="Century Gothic" w:hAnsi="Century Gothic"/>
          <w:sz w:val="18"/>
          <w:szCs w:val="18"/>
        </w:rPr>
        <w:t>tin.Courbier@bv-agrar.de.</w:t>
      </w:r>
    </w:p>
    <w:p w:rsidR="00A010F0" w:rsidRPr="00820073" w:rsidRDefault="00A010F0" w:rsidP="00820073">
      <w:pPr>
        <w:pStyle w:val="Default"/>
        <w:jc w:val="both"/>
        <w:rPr>
          <w:rFonts w:ascii="Century Gothic" w:hAnsi="Century Gothic"/>
          <w:sz w:val="18"/>
          <w:szCs w:val="18"/>
        </w:rPr>
      </w:pPr>
    </w:p>
    <w:p w:rsidR="00205801" w:rsidRDefault="00205801" w:rsidP="00205801">
      <w:pPr>
        <w:ind w:right="-60"/>
        <w:jc w:val="both"/>
        <w:rPr>
          <w:rFonts w:ascii="Century Gothic" w:hAnsi="Century Gothic"/>
          <w:sz w:val="18"/>
          <w:szCs w:val="18"/>
        </w:rPr>
      </w:pPr>
    </w:p>
    <w:p w:rsidR="00A010F0" w:rsidRDefault="00A010F0" w:rsidP="00205801">
      <w:pPr>
        <w:ind w:right="-60"/>
        <w:jc w:val="both"/>
        <w:rPr>
          <w:rFonts w:ascii="Century Gothic" w:hAnsi="Century Gothic"/>
          <w:sz w:val="18"/>
          <w:szCs w:val="18"/>
        </w:rPr>
      </w:pPr>
    </w:p>
    <w:p w:rsidR="00EA6639" w:rsidRDefault="002B508F" w:rsidP="00CA6F81">
      <w:pPr>
        <w:ind w:right="-62"/>
        <w:jc w:val="both"/>
        <w:rPr>
          <w:rFonts w:ascii="Century Gothic" w:hAnsi="Century Gothic"/>
          <w:sz w:val="18"/>
          <w:szCs w:val="18"/>
        </w:rPr>
      </w:pPr>
      <w:r>
        <w:rPr>
          <w:rFonts w:ascii="Century Gothic" w:hAnsi="Century Gothic"/>
          <w:sz w:val="18"/>
          <w:szCs w:val="18"/>
        </w:rPr>
        <w:t>Mi</w:t>
      </w:r>
      <w:r w:rsidR="00AE3C51">
        <w:rPr>
          <w:rFonts w:ascii="Century Gothic" w:hAnsi="Century Gothic"/>
          <w:sz w:val="18"/>
          <w:szCs w:val="18"/>
        </w:rPr>
        <w:t xml:space="preserve">t </w:t>
      </w:r>
      <w:r w:rsidR="008D3C6C">
        <w:rPr>
          <w:rFonts w:ascii="Century Gothic" w:hAnsi="Century Gothic"/>
          <w:sz w:val="18"/>
          <w:szCs w:val="18"/>
        </w:rPr>
        <w:t>f</w:t>
      </w:r>
      <w:r w:rsidR="00AE3C51">
        <w:rPr>
          <w:rFonts w:ascii="Century Gothic" w:hAnsi="Century Gothic"/>
          <w:sz w:val="18"/>
          <w:szCs w:val="18"/>
        </w:rPr>
        <w:t>reundlichen Grüßen</w:t>
      </w:r>
    </w:p>
    <w:p w:rsidR="00B32847" w:rsidRDefault="00B32847" w:rsidP="002D54FD">
      <w:pPr>
        <w:jc w:val="both"/>
        <w:rPr>
          <w:rFonts w:ascii="Century Gothic" w:hAnsi="Century Gothic"/>
          <w:sz w:val="18"/>
          <w:szCs w:val="18"/>
        </w:rPr>
      </w:pPr>
    </w:p>
    <w:p w:rsidR="00B32847" w:rsidRDefault="00BD6C2B" w:rsidP="002D54FD">
      <w:pPr>
        <w:jc w:val="both"/>
        <w:rPr>
          <w:rFonts w:ascii="Century Gothic" w:hAnsi="Century Gothic"/>
          <w:sz w:val="18"/>
          <w:szCs w:val="18"/>
        </w:rPr>
      </w:pPr>
      <w:r>
        <w:rPr>
          <w:rFonts w:ascii="Century Gothic" w:hAnsi="Century Gothic"/>
          <w:noProof/>
          <w:sz w:val="18"/>
          <w:szCs w:val="18"/>
        </w:rPr>
        <w:drawing>
          <wp:anchor distT="0" distB="0" distL="114300" distR="114300" simplePos="0" relativeHeight="251658752" behindDoc="0" locked="0" layoutInCell="1" allowOverlap="1" wp14:anchorId="2AE14A35" wp14:editId="1FE8AA66">
            <wp:simplePos x="0" y="0"/>
            <wp:positionH relativeFrom="column">
              <wp:posOffset>-89535</wp:posOffset>
            </wp:positionH>
            <wp:positionV relativeFrom="paragraph">
              <wp:posOffset>43180</wp:posOffset>
            </wp:positionV>
            <wp:extent cx="1143000" cy="401955"/>
            <wp:effectExtent l="0" t="0" r="0" b="0"/>
            <wp:wrapTopAndBottom/>
            <wp:docPr id="4" name="Grafik 4" descr="~AUT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0002"/>
                    <pic:cNvPicPr>
                      <a:picLocks noChangeAspect="1" noChangeArrowheads="1"/>
                    </pic:cNvPicPr>
                  </pic:nvPicPr>
                  <pic:blipFill>
                    <a:blip r:embed="rId27" cstate="print">
                      <a:lum bright="12000"/>
                      <a:extLst>
                        <a:ext uri="{28A0092B-C50C-407E-A947-70E740481C1C}">
                          <a14:useLocalDpi xmlns:a14="http://schemas.microsoft.com/office/drawing/2010/main" val="0"/>
                        </a:ext>
                      </a:extLst>
                    </a:blip>
                    <a:srcRect l="8516" t="13878" r="26717" b="27525"/>
                    <a:stretch>
                      <a:fillRect/>
                    </a:stretch>
                  </pic:blipFill>
                  <pic:spPr bwMode="auto">
                    <a:xfrm>
                      <a:off x="0" y="0"/>
                      <a:ext cx="1143000" cy="401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C51" w:rsidRDefault="00AE3C51" w:rsidP="002D54FD">
      <w:pPr>
        <w:jc w:val="both"/>
        <w:rPr>
          <w:rFonts w:ascii="Century Gothic" w:hAnsi="Century Gothic"/>
          <w:sz w:val="18"/>
          <w:szCs w:val="18"/>
        </w:rPr>
      </w:pPr>
      <w:r>
        <w:rPr>
          <w:rFonts w:ascii="Century Gothic" w:hAnsi="Century Gothic"/>
          <w:sz w:val="18"/>
          <w:szCs w:val="18"/>
        </w:rPr>
        <w:t>H.-Jochen Conrad</w:t>
      </w:r>
    </w:p>
    <w:p w:rsidR="00B15EB0" w:rsidRDefault="00AE3C51" w:rsidP="00B15EB0">
      <w:pPr>
        <w:jc w:val="both"/>
        <w:rPr>
          <w:rFonts w:ascii="Century Gothic" w:hAnsi="Century Gothic"/>
          <w:sz w:val="18"/>
          <w:szCs w:val="18"/>
        </w:rPr>
      </w:pPr>
      <w:r>
        <w:rPr>
          <w:rFonts w:ascii="Century Gothic" w:hAnsi="Century Gothic"/>
          <w:sz w:val="18"/>
          <w:szCs w:val="18"/>
        </w:rPr>
        <w:t>Geschäftsführer</w:t>
      </w:r>
    </w:p>
    <w:p w:rsidR="00441A97" w:rsidRDefault="00441A97" w:rsidP="00B15EB0">
      <w:pPr>
        <w:jc w:val="both"/>
        <w:rPr>
          <w:rFonts w:ascii="Century Gothic" w:hAnsi="Century Gothic"/>
          <w:sz w:val="18"/>
          <w:szCs w:val="18"/>
        </w:rPr>
      </w:pPr>
    </w:p>
    <w:p w:rsidR="00F41ADF" w:rsidRDefault="00BD6C2B" w:rsidP="002B508F">
      <w:pPr>
        <w:jc w:val="both"/>
        <w:rPr>
          <w:rFonts w:ascii="Century Gothic" w:hAnsi="Century Gothic"/>
          <w:sz w:val="18"/>
          <w:szCs w:val="18"/>
          <w:u w:val="single"/>
        </w:rPr>
      </w:pPr>
      <w:r>
        <w:rPr>
          <w:rFonts w:ascii="Century Gothic" w:hAnsi="Century Gothic"/>
          <w:sz w:val="18"/>
          <w:szCs w:val="18"/>
          <w:u w:val="single"/>
        </w:rPr>
        <w:t>Anlage</w:t>
      </w:r>
      <w:r w:rsidR="009B47FE">
        <w:rPr>
          <w:rFonts w:ascii="Century Gothic" w:hAnsi="Century Gothic"/>
          <w:sz w:val="18"/>
          <w:szCs w:val="18"/>
          <w:u w:val="single"/>
        </w:rPr>
        <w:t>n</w:t>
      </w:r>
      <w:r>
        <w:rPr>
          <w:rFonts w:ascii="Century Gothic" w:hAnsi="Century Gothic"/>
          <w:sz w:val="18"/>
          <w:szCs w:val="18"/>
          <w:u w:val="single"/>
        </w:rPr>
        <w:t xml:space="preserve"> zur Info</w:t>
      </w:r>
    </w:p>
    <w:p w:rsidR="00956873" w:rsidRDefault="00F36595" w:rsidP="00F36595">
      <w:pPr>
        <w:pStyle w:val="Listenabsatz"/>
        <w:numPr>
          <w:ilvl w:val="0"/>
          <w:numId w:val="41"/>
        </w:numPr>
        <w:jc w:val="both"/>
        <w:rPr>
          <w:rFonts w:ascii="Century Gothic" w:hAnsi="Century Gothic"/>
          <w:sz w:val="18"/>
          <w:szCs w:val="18"/>
        </w:rPr>
      </w:pPr>
      <w:r>
        <w:rPr>
          <w:rFonts w:ascii="Century Gothic" w:hAnsi="Century Gothic"/>
          <w:sz w:val="18"/>
          <w:szCs w:val="18"/>
        </w:rPr>
        <w:t>CDU-Positionspapier</w:t>
      </w:r>
    </w:p>
    <w:p w:rsidR="00F36595" w:rsidRPr="00F36595" w:rsidRDefault="00F36595" w:rsidP="00F36595">
      <w:pPr>
        <w:pStyle w:val="Listenabsatz"/>
        <w:numPr>
          <w:ilvl w:val="0"/>
          <w:numId w:val="41"/>
        </w:numPr>
        <w:jc w:val="both"/>
        <w:rPr>
          <w:rFonts w:ascii="Century Gothic" w:hAnsi="Century Gothic"/>
          <w:sz w:val="18"/>
          <w:szCs w:val="18"/>
        </w:rPr>
      </w:pPr>
      <w:r>
        <w:rPr>
          <w:rFonts w:ascii="Century Gothic" w:hAnsi="Century Gothic"/>
          <w:sz w:val="18"/>
          <w:szCs w:val="18"/>
        </w:rPr>
        <w:t>BVA-Überblick Novelle Dünge-Verordnung</w:t>
      </w: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B575B5" w:rsidRDefault="00B575B5" w:rsidP="00956873">
      <w:pPr>
        <w:jc w:val="both"/>
        <w:rPr>
          <w:rFonts w:ascii="Century Gothic" w:hAnsi="Century Gothic"/>
          <w:sz w:val="18"/>
          <w:szCs w:val="18"/>
        </w:rPr>
      </w:pPr>
    </w:p>
    <w:p w:rsidR="00956873" w:rsidRDefault="00956873" w:rsidP="00956873">
      <w:pPr>
        <w:jc w:val="both"/>
        <w:rPr>
          <w:rFonts w:ascii="Century Gothic" w:hAnsi="Century Gothic"/>
          <w:sz w:val="18"/>
          <w:szCs w:val="18"/>
        </w:rPr>
      </w:pPr>
    </w:p>
    <w:p w:rsidR="00956873" w:rsidRDefault="00956873" w:rsidP="00956873">
      <w:pPr>
        <w:jc w:val="both"/>
        <w:rPr>
          <w:rFonts w:ascii="Century Gothic" w:hAnsi="Century Gothic"/>
          <w:sz w:val="18"/>
          <w:szCs w:val="18"/>
        </w:rPr>
      </w:pPr>
    </w:p>
    <w:p w:rsidR="00471B35" w:rsidRDefault="00471B35" w:rsidP="00956873">
      <w:pPr>
        <w:jc w:val="both"/>
        <w:rPr>
          <w:rFonts w:ascii="Century Gothic" w:hAnsi="Century Gothic"/>
          <w:sz w:val="18"/>
          <w:szCs w:val="18"/>
        </w:rPr>
      </w:pPr>
    </w:p>
    <w:p w:rsidR="00471B35" w:rsidRDefault="00471B35" w:rsidP="00956873">
      <w:pPr>
        <w:jc w:val="both"/>
        <w:rPr>
          <w:rFonts w:ascii="Century Gothic" w:hAnsi="Century Gothic"/>
          <w:sz w:val="18"/>
          <w:szCs w:val="18"/>
        </w:rPr>
      </w:pPr>
    </w:p>
    <w:p w:rsidR="00471B35" w:rsidRDefault="00471B35" w:rsidP="00956873">
      <w:pPr>
        <w:jc w:val="both"/>
        <w:rPr>
          <w:rFonts w:ascii="Century Gothic" w:hAnsi="Century Gothic"/>
          <w:sz w:val="18"/>
          <w:szCs w:val="18"/>
        </w:rPr>
      </w:pPr>
    </w:p>
    <w:p w:rsidR="00471B35" w:rsidRDefault="00471B35" w:rsidP="00956873">
      <w:pPr>
        <w:jc w:val="both"/>
        <w:rPr>
          <w:rFonts w:ascii="Century Gothic" w:hAnsi="Century Gothic"/>
          <w:sz w:val="18"/>
          <w:szCs w:val="18"/>
        </w:rPr>
      </w:pPr>
    </w:p>
    <w:p w:rsidR="00471B35" w:rsidRDefault="00471B35" w:rsidP="00956873">
      <w:pPr>
        <w:jc w:val="both"/>
        <w:rPr>
          <w:rFonts w:ascii="Century Gothic" w:hAnsi="Century Gothic"/>
          <w:sz w:val="18"/>
          <w:szCs w:val="18"/>
        </w:rPr>
      </w:pPr>
    </w:p>
    <w:p w:rsidR="00471B35" w:rsidRDefault="00471B35" w:rsidP="00956873">
      <w:pPr>
        <w:jc w:val="both"/>
        <w:rPr>
          <w:rFonts w:ascii="Century Gothic" w:hAnsi="Century Gothic"/>
          <w:sz w:val="18"/>
          <w:szCs w:val="18"/>
        </w:rPr>
      </w:pPr>
    </w:p>
    <w:p w:rsidR="00471B35" w:rsidRDefault="00471B35" w:rsidP="00956873">
      <w:pPr>
        <w:jc w:val="both"/>
        <w:rPr>
          <w:rFonts w:ascii="Century Gothic" w:hAnsi="Century Gothic"/>
          <w:sz w:val="18"/>
          <w:szCs w:val="18"/>
        </w:rPr>
      </w:pPr>
    </w:p>
    <w:p w:rsidR="00471B35" w:rsidRDefault="00471B35" w:rsidP="00956873">
      <w:pPr>
        <w:jc w:val="both"/>
        <w:rPr>
          <w:rFonts w:ascii="Century Gothic" w:hAnsi="Century Gothic"/>
          <w:sz w:val="18"/>
          <w:szCs w:val="18"/>
        </w:rPr>
      </w:pPr>
    </w:p>
    <w:p w:rsidR="00471B35" w:rsidRDefault="00471B35" w:rsidP="00956873">
      <w:pPr>
        <w:jc w:val="both"/>
        <w:rPr>
          <w:rFonts w:ascii="Century Gothic" w:hAnsi="Century Gothic"/>
          <w:sz w:val="18"/>
          <w:szCs w:val="18"/>
        </w:rPr>
      </w:pPr>
    </w:p>
    <w:p w:rsidR="00471B35" w:rsidRDefault="00471B35" w:rsidP="00956873">
      <w:pPr>
        <w:jc w:val="both"/>
        <w:rPr>
          <w:rFonts w:ascii="Century Gothic" w:hAnsi="Century Gothic"/>
          <w:sz w:val="18"/>
          <w:szCs w:val="18"/>
        </w:rPr>
      </w:pPr>
    </w:p>
    <w:p w:rsidR="00471B35" w:rsidRDefault="00471B35" w:rsidP="00956873">
      <w:pPr>
        <w:jc w:val="both"/>
        <w:rPr>
          <w:rFonts w:ascii="Century Gothic" w:hAnsi="Century Gothic"/>
          <w:sz w:val="18"/>
          <w:szCs w:val="18"/>
        </w:rPr>
      </w:pPr>
    </w:p>
    <w:p w:rsidR="00956873" w:rsidRPr="00956873" w:rsidRDefault="00956873" w:rsidP="00956873">
      <w:pPr>
        <w:jc w:val="both"/>
        <w:rPr>
          <w:rFonts w:ascii="Century Gothic" w:hAnsi="Century Gothic"/>
          <w:sz w:val="18"/>
          <w:szCs w:val="18"/>
        </w:rPr>
      </w:pPr>
    </w:p>
    <w:sectPr w:rsidR="00956873" w:rsidRPr="00956873" w:rsidSect="00F954E2">
      <w:type w:val="continuous"/>
      <w:pgSz w:w="11906" w:h="16838" w:code="9"/>
      <w:pgMar w:top="851" w:right="746" w:bottom="851" w:left="851" w:header="709" w:footer="709" w:gutter="0"/>
      <w:cols w:num="2" w:sep="1" w:space="708" w:equalWidth="0">
        <w:col w:w="4909" w:space="599"/>
        <w:col w:w="480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551" w:rsidRDefault="00126551">
      <w:r>
        <w:separator/>
      </w:r>
    </w:p>
  </w:endnote>
  <w:endnote w:type="continuationSeparator" w:id="0">
    <w:p w:rsidR="00126551" w:rsidRDefault="00126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383" w:rsidRPr="006C3A49" w:rsidRDefault="00A36383" w:rsidP="006C3A49">
    <w:pPr>
      <w:pStyle w:val="Fuzeile"/>
      <w:rPr>
        <w:szCs w:val="16"/>
      </w:rPr>
    </w:pPr>
    <w:r w:rsidRPr="006C3A49">
      <w:rPr>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551" w:rsidRDefault="00126551">
      <w:r>
        <w:separator/>
      </w:r>
    </w:p>
  </w:footnote>
  <w:footnote w:type="continuationSeparator" w:id="0">
    <w:p w:rsidR="00126551" w:rsidRDefault="001265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383" w:rsidRDefault="00A36383" w:rsidP="00F15D18">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A36383" w:rsidRDefault="00A3638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383" w:rsidRDefault="00A36383" w:rsidP="00F15D18">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0E4C16">
      <w:rPr>
        <w:rStyle w:val="Seitenzahl"/>
        <w:noProof/>
      </w:rPr>
      <w:t>2</w:t>
    </w:r>
    <w:r>
      <w:rPr>
        <w:rStyle w:val="Seitenzahl"/>
      </w:rPr>
      <w:fldChar w:fldCharType="end"/>
    </w:r>
  </w:p>
  <w:p w:rsidR="00A36383" w:rsidRPr="00D729B5" w:rsidRDefault="00A36383" w:rsidP="00D729B5">
    <w:pPr>
      <w:pStyle w:val="Kopfzeile"/>
    </w:pPr>
    <w:r w:rsidRPr="00D729B5">
      <w:rPr>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D9D"/>
    <w:multiLevelType w:val="hybridMultilevel"/>
    <w:tmpl w:val="9E50E774"/>
    <w:lvl w:ilvl="0" w:tplc="41D6FFD2">
      <w:start w:val="3"/>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1B5BA4"/>
    <w:multiLevelType w:val="hybridMultilevel"/>
    <w:tmpl w:val="951029F6"/>
    <w:lvl w:ilvl="0" w:tplc="4818376C">
      <w:start w:val="6"/>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317791"/>
    <w:multiLevelType w:val="hybridMultilevel"/>
    <w:tmpl w:val="AB649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431A56"/>
    <w:multiLevelType w:val="hybridMultilevel"/>
    <w:tmpl w:val="5F86FE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89E46F1"/>
    <w:multiLevelType w:val="multilevel"/>
    <w:tmpl w:val="9E940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48006D"/>
    <w:multiLevelType w:val="hybridMultilevel"/>
    <w:tmpl w:val="27961520"/>
    <w:lvl w:ilvl="0" w:tplc="D8AE4798">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C88735F"/>
    <w:multiLevelType w:val="hybridMultilevel"/>
    <w:tmpl w:val="98C2D08A"/>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2282C43"/>
    <w:multiLevelType w:val="hybridMultilevel"/>
    <w:tmpl w:val="5E8806C4"/>
    <w:lvl w:ilvl="0" w:tplc="A55432E2">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3DC087A"/>
    <w:multiLevelType w:val="hybridMultilevel"/>
    <w:tmpl w:val="32762D94"/>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AE15D25"/>
    <w:multiLevelType w:val="hybridMultilevel"/>
    <w:tmpl w:val="465A698C"/>
    <w:lvl w:ilvl="0" w:tplc="B7B66EDC">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BA8362D"/>
    <w:multiLevelType w:val="hybridMultilevel"/>
    <w:tmpl w:val="E13C6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BA95AB3"/>
    <w:multiLevelType w:val="hybridMultilevel"/>
    <w:tmpl w:val="29DC5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D86519E"/>
    <w:multiLevelType w:val="hybridMultilevel"/>
    <w:tmpl w:val="F7DC60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1656551"/>
    <w:multiLevelType w:val="hybridMultilevel"/>
    <w:tmpl w:val="43BE5A52"/>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46619DA"/>
    <w:multiLevelType w:val="hybridMultilevel"/>
    <w:tmpl w:val="E4F414A0"/>
    <w:lvl w:ilvl="0" w:tplc="000ACE40">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66B0B67"/>
    <w:multiLevelType w:val="hybridMultilevel"/>
    <w:tmpl w:val="8716ED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8B73BE6"/>
    <w:multiLevelType w:val="hybridMultilevel"/>
    <w:tmpl w:val="FE827AA6"/>
    <w:lvl w:ilvl="0" w:tplc="B402673A">
      <w:start w:val="5"/>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A0E1A74"/>
    <w:multiLevelType w:val="hybridMultilevel"/>
    <w:tmpl w:val="11ECF0C6"/>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E5642FD"/>
    <w:multiLevelType w:val="hybridMultilevel"/>
    <w:tmpl w:val="618478A8"/>
    <w:lvl w:ilvl="0" w:tplc="4818376C">
      <w:start w:val="6"/>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7101645"/>
    <w:multiLevelType w:val="hybridMultilevel"/>
    <w:tmpl w:val="2146D0DA"/>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792174A"/>
    <w:multiLevelType w:val="hybridMultilevel"/>
    <w:tmpl w:val="67BE5240"/>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87B7BA1"/>
    <w:multiLevelType w:val="hybridMultilevel"/>
    <w:tmpl w:val="C2CED6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C887E89"/>
    <w:multiLevelType w:val="hybridMultilevel"/>
    <w:tmpl w:val="4484CCDC"/>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58D7150"/>
    <w:multiLevelType w:val="hybridMultilevel"/>
    <w:tmpl w:val="C1021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6666787"/>
    <w:multiLevelType w:val="multilevel"/>
    <w:tmpl w:val="EA62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74274C2"/>
    <w:multiLevelType w:val="hybridMultilevel"/>
    <w:tmpl w:val="21DA2634"/>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AA67C67"/>
    <w:multiLevelType w:val="hybridMultilevel"/>
    <w:tmpl w:val="CB425F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0A75051"/>
    <w:multiLevelType w:val="hybridMultilevel"/>
    <w:tmpl w:val="FB7A41E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nsid w:val="51737369"/>
    <w:multiLevelType w:val="hybridMultilevel"/>
    <w:tmpl w:val="24DC7AFE"/>
    <w:lvl w:ilvl="0" w:tplc="25EC3CFE">
      <w:start w:val="17"/>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5FC6CB5"/>
    <w:multiLevelType w:val="hybridMultilevel"/>
    <w:tmpl w:val="95CE7ED6"/>
    <w:lvl w:ilvl="0" w:tplc="0D98C030">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FDD6729"/>
    <w:multiLevelType w:val="hybridMultilevel"/>
    <w:tmpl w:val="BBEE1136"/>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0C065DC"/>
    <w:multiLevelType w:val="hybridMultilevel"/>
    <w:tmpl w:val="9EB2A136"/>
    <w:lvl w:ilvl="0" w:tplc="BE900BA8">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6F35502"/>
    <w:multiLevelType w:val="hybridMultilevel"/>
    <w:tmpl w:val="13FCF840"/>
    <w:lvl w:ilvl="0" w:tplc="CEB8DF38">
      <w:start w:val="7"/>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C1D5372"/>
    <w:multiLevelType w:val="hybridMultilevel"/>
    <w:tmpl w:val="ED962508"/>
    <w:lvl w:ilvl="0" w:tplc="272C05A6">
      <w:start w:val="14"/>
      <w:numFmt w:val="bullet"/>
      <w:lvlText w:val="-"/>
      <w:lvlJc w:val="left"/>
      <w:pPr>
        <w:ind w:left="720" w:hanging="360"/>
      </w:pPr>
      <w:rPr>
        <w:rFonts w:ascii="Century Gothic" w:eastAsia="Times New Roman" w:hAnsi="Century Gothic" w:cs="Century Goth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E9E60D9"/>
    <w:multiLevelType w:val="hybridMultilevel"/>
    <w:tmpl w:val="9768E398"/>
    <w:lvl w:ilvl="0" w:tplc="A55432E2">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F9E5E34"/>
    <w:multiLevelType w:val="hybridMultilevel"/>
    <w:tmpl w:val="78C8321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6">
    <w:nsid w:val="726B503F"/>
    <w:multiLevelType w:val="hybridMultilevel"/>
    <w:tmpl w:val="FFC4B9BA"/>
    <w:lvl w:ilvl="0" w:tplc="CB8C30E4">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2FE39DF"/>
    <w:multiLevelType w:val="hybridMultilevel"/>
    <w:tmpl w:val="2850E53A"/>
    <w:lvl w:ilvl="0" w:tplc="000ACE40">
      <w:start w:val="1"/>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6531A51"/>
    <w:multiLevelType w:val="hybridMultilevel"/>
    <w:tmpl w:val="B0240910"/>
    <w:lvl w:ilvl="0" w:tplc="B402673A">
      <w:start w:val="5"/>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78743CA"/>
    <w:multiLevelType w:val="hybridMultilevel"/>
    <w:tmpl w:val="D55004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D101500"/>
    <w:multiLevelType w:val="hybridMultilevel"/>
    <w:tmpl w:val="BF64F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DBF6556"/>
    <w:multiLevelType w:val="hybridMultilevel"/>
    <w:tmpl w:val="0E90FB06"/>
    <w:lvl w:ilvl="0" w:tplc="AA9E1146">
      <w:start w:val="1"/>
      <w:numFmt w:val="decimalZero"/>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0"/>
  </w:num>
  <w:num w:numId="2">
    <w:abstractNumId w:val="2"/>
  </w:num>
  <w:num w:numId="3">
    <w:abstractNumId w:val="23"/>
  </w:num>
  <w:num w:numId="4">
    <w:abstractNumId w:val="32"/>
  </w:num>
  <w:num w:numId="5">
    <w:abstractNumId w:val="39"/>
  </w:num>
  <w:num w:numId="6">
    <w:abstractNumId w:val="11"/>
  </w:num>
  <w:num w:numId="7">
    <w:abstractNumId w:val="28"/>
  </w:num>
  <w:num w:numId="8">
    <w:abstractNumId w:val="14"/>
  </w:num>
  <w:num w:numId="9">
    <w:abstractNumId w:val="37"/>
  </w:num>
  <w:num w:numId="10">
    <w:abstractNumId w:val="36"/>
  </w:num>
  <w:num w:numId="11">
    <w:abstractNumId w:val="35"/>
  </w:num>
  <w:num w:numId="12">
    <w:abstractNumId w:val="5"/>
  </w:num>
  <w:num w:numId="13">
    <w:abstractNumId w:val="8"/>
  </w:num>
  <w:num w:numId="14">
    <w:abstractNumId w:val="25"/>
  </w:num>
  <w:num w:numId="15">
    <w:abstractNumId w:val="3"/>
  </w:num>
  <w:num w:numId="16">
    <w:abstractNumId w:val="4"/>
  </w:num>
  <w:num w:numId="17">
    <w:abstractNumId w:val="24"/>
  </w:num>
  <w:num w:numId="18">
    <w:abstractNumId w:val="6"/>
  </w:num>
  <w:num w:numId="19">
    <w:abstractNumId w:val="19"/>
  </w:num>
  <w:num w:numId="20">
    <w:abstractNumId w:val="13"/>
  </w:num>
  <w:num w:numId="21">
    <w:abstractNumId w:val="17"/>
  </w:num>
  <w:num w:numId="22">
    <w:abstractNumId w:val="20"/>
  </w:num>
  <w:num w:numId="23">
    <w:abstractNumId w:val="33"/>
  </w:num>
  <w:num w:numId="24">
    <w:abstractNumId w:val="30"/>
  </w:num>
  <w:num w:numId="25">
    <w:abstractNumId w:val="22"/>
  </w:num>
  <w:num w:numId="26">
    <w:abstractNumId w:val="31"/>
  </w:num>
  <w:num w:numId="27">
    <w:abstractNumId w:val="15"/>
  </w:num>
  <w:num w:numId="28">
    <w:abstractNumId w:val="41"/>
  </w:num>
  <w:num w:numId="29">
    <w:abstractNumId w:val="9"/>
  </w:num>
  <w:num w:numId="30">
    <w:abstractNumId w:val="34"/>
  </w:num>
  <w:num w:numId="31">
    <w:abstractNumId w:val="7"/>
  </w:num>
  <w:num w:numId="32">
    <w:abstractNumId w:val="12"/>
  </w:num>
  <w:num w:numId="33">
    <w:abstractNumId w:val="29"/>
  </w:num>
  <w:num w:numId="34">
    <w:abstractNumId w:val="27"/>
  </w:num>
  <w:num w:numId="35">
    <w:abstractNumId w:val="21"/>
  </w:num>
  <w:num w:numId="36">
    <w:abstractNumId w:val="0"/>
  </w:num>
  <w:num w:numId="37">
    <w:abstractNumId w:val="1"/>
  </w:num>
  <w:num w:numId="38">
    <w:abstractNumId w:val="18"/>
  </w:num>
  <w:num w:numId="39">
    <w:abstractNumId w:val="10"/>
  </w:num>
  <w:num w:numId="40">
    <w:abstractNumId w:val="26"/>
  </w:num>
  <w:num w:numId="41">
    <w:abstractNumId w:val="38"/>
  </w:num>
  <w:num w:numId="4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de-DE"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BD"/>
    <w:rsid w:val="00000004"/>
    <w:rsid w:val="00004AF0"/>
    <w:rsid w:val="00005CC4"/>
    <w:rsid w:val="00006002"/>
    <w:rsid w:val="00007480"/>
    <w:rsid w:val="00007AE3"/>
    <w:rsid w:val="00010BE7"/>
    <w:rsid w:val="00010EC2"/>
    <w:rsid w:val="00011A15"/>
    <w:rsid w:val="00012DD5"/>
    <w:rsid w:val="0001375E"/>
    <w:rsid w:val="00013971"/>
    <w:rsid w:val="00015011"/>
    <w:rsid w:val="000157AF"/>
    <w:rsid w:val="000208C9"/>
    <w:rsid w:val="00020DBF"/>
    <w:rsid w:val="0002451E"/>
    <w:rsid w:val="000268A3"/>
    <w:rsid w:val="00030B50"/>
    <w:rsid w:val="000324DF"/>
    <w:rsid w:val="00033576"/>
    <w:rsid w:val="000341AE"/>
    <w:rsid w:val="00040674"/>
    <w:rsid w:val="00040692"/>
    <w:rsid w:val="00041838"/>
    <w:rsid w:val="000442E5"/>
    <w:rsid w:val="00044E22"/>
    <w:rsid w:val="0004793A"/>
    <w:rsid w:val="000506B6"/>
    <w:rsid w:val="000526A6"/>
    <w:rsid w:val="00052A71"/>
    <w:rsid w:val="000533B0"/>
    <w:rsid w:val="00053C42"/>
    <w:rsid w:val="00055ED7"/>
    <w:rsid w:val="00056E1D"/>
    <w:rsid w:val="000613BD"/>
    <w:rsid w:val="00062A56"/>
    <w:rsid w:val="00063BF6"/>
    <w:rsid w:val="00065B2C"/>
    <w:rsid w:val="000702DA"/>
    <w:rsid w:val="00072113"/>
    <w:rsid w:val="000731F5"/>
    <w:rsid w:val="000748B4"/>
    <w:rsid w:val="00076528"/>
    <w:rsid w:val="000765E2"/>
    <w:rsid w:val="00076E5C"/>
    <w:rsid w:val="00081BD8"/>
    <w:rsid w:val="00081E86"/>
    <w:rsid w:val="00083364"/>
    <w:rsid w:val="000857B2"/>
    <w:rsid w:val="00086091"/>
    <w:rsid w:val="000861A8"/>
    <w:rsid w:val="00087F57"/>
    <w:rsid w:val="0009007B"/>
    <w:rsid w:val="0009061A"/>
    <w:rsid w:val="00091027"/>
    <w:rsid w:val="0009193B"/>
    <w:rsid w:val="000934FB"/>
    <w:rsid w:val="000954E1"/>
    <w:rsid w:val="000A4428"/>
    <w:rsid w:val="000A4F69"/>
    <w:rsid w:val="000A5261"/>
    <w:rsid w:val="000A59FC"/>
    <w:rsid w:val="000A5A4D"/>
    <w:rsid w:val="000A7047"/>
    <w:rsid w:val="000A7CB8"/>
    <w:rsid w:val="000A7CCB"/>
    <w:rsid w:val="000B18BA"/>
    <w:rsid w:val="000B4F0B"/>
    <w:rsid w:val="000B6E23"/>
    <w:rsid w:val="000B7C49"/>
    <w:rsid w:val="000B7CC7"/>
    <w:rsid w:val="000B7D69"/>
    <w:rsid w:val="000C2787"/>
    <w:rsid w:val="000C3FEE"/>
    <w:rsid w:val="000C6FB1"/>
    <w:rsid w:val="000C70D4"/>
    <w:rsid w:val="000C766E"/>
    <w:rsid w:val="000C779F"/>
    <w:rsid w:val="000D26EB"/>
    <w:rsid w:val="000D2A2B"/>
    <w:rsid w:val="000D367C"/>
    <w:rsid w:val="000D4CA8"/>
    <w:rsid w:val="000D524E"/>
    <w:rsid w:val="000D563A"/>
    <w:rsid w:val="000D7335"/>
    <w:rsid w:val="000E04AD"/>
    <w:rsid w:val="000E19B0"/>
    <w:rsid w:val="000E21D9"/>
    <w:rsid w:val="000E249B"/>
    <w:rsid w:val="000E406D"/>
    <w:rsid w:val="000E4249"/>
    <w:rsid w:val="000E4C16"/>
    <w:rsid w:val="000E4C9C"/>
    <w:rsid w:val="000E7209"/>
    <w:rsid w:val="000E7C48"/>
    <w:rsid w:val="000F02A3"/>
    <w:rsid w:val="000F059C"/>
    <w:rsid w:val="000F1F56"/>
    <w:rsid w:val="000F39C2"/>
    <w:rsid w:val="000F535A"/>
    <w:rsid w:val="000F6517"/>
    <w:rsid w:val="000F7F6E"/>
    <w:rsid w:val="001006FE"/>
    <w:rsid w:val="00100D4F"/>
    <w:rsid w:val="001017E9"/>
    <w:rsid w:val="00103155"/>
    <w:rsid w:val="0010340E"/>
    <w:rsid w:val="0010431C"/>
    <w:rsid w:val="0010568E"/>
    <w:rsid w:val="00105927"/>
    <w:rsid w:val="00106DAA"/>
    <w:rsid w:val="001101D9"/>
    <w:rsid w:val="001114FA"/>
    <w:rsid w:val="00113CD2"/>
    <w:rsid w:val="00114346"/>
    <w:rsid w:val="00115AA9"/>
    <w:rsid w:val="00116DBC"/>
    <w:rsid w:val="001171EA"/>
    <w:rsid w:val="001209BA"/>
    <w:rsid w:val="00122099"/>
    <w:rsid w:val="00123E6D"/>
    <w:rsid w:val="00124DDD"/>
    <w:rsid w:val="00126551"/>
    <w:rsid w:val="00130ABF"/>
    <w:rsid w:val="001317D8"/>
    <w:rsid w:val="001320B5"/>
    <w:rsid w:val="0013252A"/>
    <w:rsid w:val="001344F4"/>
    <w:rsid w:val="00134510"/>
    <w:rsid w:val="0013483E"/>
    <w:rsid w:val="00136F25"/>
    <w:rsid w:val="001370AE"/>
    <w:rsid w:val="00137E70"/>
    <w:rsid w:val="001405A1"/>
    <w:rsid w:val="00141F9A"/>
    <w:rsid w:val="00147F03"/>
    <w:rsid w:val="0015096C"/>
    <w:rsid w:val="001523C4"/>
    <w:rsid w:val="00153B01"/>
    <w:rsid w:val="00157492"/>
    <w:rsid w:val="0016043E"/>
    <w:rsid w:val="00161313"/>
    <w:rsid w:val="00161992"/>
    <w:rsid w:val="00166561"/>
    <w:rsid w:val="00166C8D"/>
    <w:rsid w:val="0016718E"/>
    <w:rsid w:val="001671E0"/>
    <w:rsid w:val="001673ED"/>
    <w:rsid w:val="001677A0"/>
    <w:rsid w:val="00172365"/>
    <w:rsid w:val="0017271A"/>
    <w:rsid w:val="00172E00"/>
    <w:rsid w:val="001736BF"/>
    <w:rsid w:val="00173AFA"/>
    <w:rsid w:val="00174563"/>
    <w:rsid w:val="00174BCD"/>
    <w:rsid w:val="001756B6"/>
    <w:rsid w:val="001760CD"/>
    <w:rsid w:val="001805CC"/>
    <w:rsid w:val="0018091B"/>
    <w:rsid w:val="00182A80"/>
    <w:rsid w:val="00184E4E"/>
    <w:rsid w:val="001855AD"/>
    <w:rsid w:val="00185B72"/>
    <w:rsid w:val="00185E22"/>
    <w:rsid w:val="001871B1"/>
    <w:rsid w:val="001875F3"/>
    <w:rsid w:val="00191241"/>
    <w:rsid w:val="0019350E"/>
    <w:rsid w:val="00196FFF"/>
    <w:rsid w:val="0019739A"/>
    <w:rsid w:val="001974A8"/>
    <w:rsid w:val="00197923"/>
    <w:rsid w:val="001A1344"/>
    <w:rsid w:val="001A229F"/>
    <w:rsid w:val="001A2473"/>
    <w:rsid w:val="001B18CC"/>
    <w:rsid w:val="001B30FA"/>
    <w:rsid w:val="001B3943"/>
    <w:rsid w:val="001B39FE"/>
    <w:rsid w:val="001B3EC8"/>
    <w:rsid w:val="001B44E8"/>
    <w:rsid w:val="001B7C7D"/>
    <w:rsid w:val="001C1F6F"/>
    <w:rsid w:val="001C30DB"/>
    <w:rsid w:val="001C4A10"/>
    <w:rsid w:val="001C4AC2"/>
    <w:rsid w:val="001C58B7"/>
    <w:rsid w:val="001C5DEB"/>
    <w:rsid w:val="001D0008"/>
    <w:rsid w:val="001D056D"/>
    <w:rsid w:val="001D157F"/>
    <w:rsid w:val="001D2E6E"/>
    <w:rsid w:val="001D30A3"/>
    <w:rsid w:val="001D3871"/>
    <w:rsid w:val="001D43DE"/>
    <w:rsid w:val="001D4D31"/>
    <w:rsid w:val="001D7B09"/>
    <w:rsid w:val="001E0E56"/>
    <w:rsid w:val="001E16C3"/>
    <w:rsid w:val="001E3EF7"/>
    <w:rsid w:val="001E3FDF"/>
    <w:rsid w:val="001E4BE9"/>
    <w:rsid w:val="001E4CEC"/>
    <w:rsid w:val="001E57E0"/>
    <w:rsid w:val="001E59CE"/>
    <w:rsid w:val="001E7435"/>
    <w:rsid w:val="001F0A61"/>
    <w:rsid w:val="001F2394"/>
    <w:rsid w:val="001F254D"/>
    <w:rsid w:val="001F3B6C"/>
    <w:rsid w:val="001F47BD"/>
    <w:rsid w:val="001F4EE9"/>
    <w:rsid w:val="00201097"/>
    <w:rsid w:val="00201734"/>
    <w:rsid w:val="00201C84"/>
    <w:rsid w:val="00205801"/>
    <w:rsid w:val="00205F13"/>
    <w:rsid w:val="00206D21"/>
    <w:rsid w:val="00207114"/>
    <w:rsid w:val="0020744E"/>
    <w:rsid w:val="00210E74"/>
    <w:rsid w:val="0021115B"/>
    <w:rsid w:val="002141C8"/>
    <w:rsid w:val="0021566C"/>
    <w:rsid w:val="00217521"/>
    <w:rsid w:val="00221569"/>
    <w:rsid w:val="00222396"/>
    <w:rsid w:val="00222A30"/>
    <w:rsid w:val="00224839"/>
    <w:rsid w:val="002252BC"/>
    <w:rsid w:val="00226A78"/>
    <w:rsid w:val="0023024F"/>
    <w:rsid w:val="00230CD7"/>
    <w:rsid w:val="00230E32"/>
    <w:rsid w:val="002319AA"/>
    <w:rsid w:val="00231A61"/>
    <w:rsid w:val="00232596"/>
    <w:rsid w:val="00234A6D"/>
    <w:rsid w:val="00236925"/>
    <w:rsid w:val="002373D3"/>
    <w:rsid w:val="0023740D"/>
    <w:rsid w:val="002416B5"/>
    <w:rsid w:val="002441A5"/>
    <w:rsid w:val="00246F23"/>
    <w:rsid w:val="00250E38"/>
    <w:rsid w:val="00252CE8"/>
    <w:rsid w:val="00253F81"/>
    <w:rsid w:val="00255763"/>
    <w:rsid w:val="00257C24"/>
    <w:rsid w:val="00257F81"/>
    <w:rsid w:val="0026043A"/>
    <w:rsid w:val="002606AD"/>
    <w:rsid w:val="0026078E"/>
    <w:rsid w:val="00260828"/>
    <w:rsid w:val="00264E82"/>
    <w:rsid w:val="002717F2"/>
    <w:rsid w:val="002734D0"/>
    <w:rsid w:val="00273B53"/>
    <w:rsid w:val="002756AD"/>
    <w:rsid w:val="0027721E"/>
    <w:rsid w:val="0027738A"/>
    <w:rsid w:val="002828C2"/>
    <w:rsid w:val="00285919"/>
    <w:rsid w:val="0028690F"/>
    <w:rsid w:val="00287484"/>
    <w:rsid w:val="00287AE5"/>
    <w:rsid w:val="00290821"/>
    <w:rsid w:val="00291342"/>
    <w:rsid w:val="00293D0F"/>
    <w:rsid w:val="00294BF1"/>
    <w:rsid w:val="00296356"/>
    <w:rsid w:val="002A0E4F"/>
    <w:rsid w:val="002A15B9"/>
    <w:rsid w:val="002A377B"/>
    <w:rsid w:val="002A3B11"/>
    <w:rsid w:val="002A5E47"/>
    <w:rsid w:val="002A630D"/>
    <w:rsid w:val="002B02C0"/>
    <w:rsid w:val="002B1115"/>
    <w:rsid w:val="002B508F"/>
    <w:rsid w:val="002C45F1"/>
    <w:rsid w:val="002C7747"/>
    <w:rsid w:val="002D0085"/>
    <w:rsid w:val="002D31E5"/>
    <w:rsid w:val="002D54FD"/>
    <w:rsid w:val="002E1AFF"/>
    <w:rsid w:val="002E34A6"/>
    <w:rsid w:val="002E372E"/>
    <w:rsid w:val="002E381D"/>
    <w:rsid w:val="002E44B4"/>
    <w:rsid w:val="002E52A9"/>
    <w:rsid w:val="002E6C83"/>
    <w:rsid w:val="002F50A9"/>
    <w:rsid w:val="00304043"/>
    <w:rsid w:val="003072D1"/>
    <w:rsid w:val="003078F4"/>
    <w:rsid w:val="00310205"/>
    <w:rsid w:val="0031159E"/>
    <w:rsid w:val="00312D6B"/>
    <w:rsid w:val="00314191"/>
    <w:rsid w:val="0031459B"/>
    <w:rsid w:val="00317A53"/>
    <w:rsid w:val="00321263"/>
    <w:rsid w:val="00323681"/>
    <w:rsid w:val="0032512A"/>
    <w:rsid w:val="00325A59"/>
    <w:rsid w:val="003305A6"/>
    <w:rsid w:val="003308BC"/>
    <w:rsid w:val="0033169F"/>
    <w:rsid w:val="003323BB"/>
    <w:rsid w:val="0033278F"/>
    <w:rsid w:val="0033300E"/>
    <w:rsid w:val="0033383A"/>
    <w:rsid w:val="00335375"/>
    <w:rsid w:val="00335C04"/>
    <w:rsid w:val="003368FD"/>
    <w:rsid w:val="003441BE"/>
    <w:rsid w:val="00344261"/>
    <w:rsid w:val="0034533A"/>
    <w:rsid w:val="00345D93"/>
    <w:rsid w:val="00346776"/>
    <w:rsid w:val="00347369"/>
    <w:rsid w:val="0035289A"/>
    <w:rsid w:val="00353087"/>
    <w:rsid w:val="003532D5"/>
    <w:rsid w:val="003540BA"/>
    <w:rsid w:val="00354FA9"/>
    <w:rsid w:val="00355665"/>
    <w:rsid w:val="00357105"/>
    <w:rsid w:val="00360462"/>
    <w:rsid w:val="00360B5C"/>
    <w:rsid w:val="00362BD4"/>
    <w:rsid w:val="00362FF5"/>
    <w:rsid w:val="0036307E"/>
    <w:rsid w:val="0036367F"/>
    <w:rsid w:val="003671DE"/>
    <w:rsid w:val="003672DE"/>
    <w:rsid w:val="00367717"/>
    <w:rsid w:val="00367F08"/>
    <w:rsid w:val="00372337"/>
    <w:rsid w:val="0037309A"/>
    <w:rsid w:val="00382231"/>
    <w:rsid w:val="00382842"/>
    <w:rsid w:val="00383320"/>
    <w:rsid w:val="00385F72"/>
    <w:rsid w:val="00386EBF"/>
    <w:rsid w:val="003874D4"/>
    <w:rsid w:val="0039072F"/>
    <w:rsid w:val="003917E4"/>
    <w:rsid w:val="00392741"/>
    <w:rsid w:val="00392E13"/>
    <w:rsid w:val="0039529A"/>
    <w:rsid w:val="00395DC0"/>
    <w:rsid w:val="00396B14"/>
    <w:rsid w:val="003A0E81"/>
    <w:rsid w:val="003A199F"/>
    <w:rsid w:val="003A2D12"/>
    <w:rsid w:val="003A60E3"/>
    <w:rsid w:val="003B0F80"/>
    <w:rsid w:val="003B1DD7"/>
    <w:rsid w:val="003B306E"/>
    <w:rsid w:val="003B3232"/>
    <w:rsid w:val="003B6BA0"/>
    <w:rsid w:val="003B7207"/>
    <w:rsid w:val="003C1C94"/>
    <w:rsid w:val="003C2425"/>
    <w:rsid w:val="003C29BB"/>
    <w:rsid w:val="003C2C22"/>
    <w:rsid w:val="003C44D5"/>
    <w:rsid w:val="003C7145"/>
    <w:rsid w:val="003C7388"/>
    <w:rsid w:val="003C738B"/>
    <w:rsid w:val="003D0151"/>
    <w:rsid w:val="003D0C95"/>
    <w:rsid w:val="003D19CA"/>
    <w:rsid w:val="003D2DF1"/>
    <w:rsid w:val="003D2F04"/>
    <w:rsid w:val="003D324A"/>
    <w:rsid w:val="003D51BB"/>
    <w:rsid w:val="003D5317"/>
    <w:rsid w:val="003D54A6"/>
    <w:rsid w:val="003E1A1B"/>
    <w:rsid w:val="003E2CF2"/>
    <w:rsid w:val="003E4826"/>
    <w:rsid w:val="003E50B2"/>
    <w:rsid w:val="003E7663"/>
    <w:rsid w:val="003F27FE"/>
    <w:rsid w:val="003F4008"/>
    <w:rsid w:val="003F41AC"/>
    <w:rsid w:val="003F4C16"/>
    <w:rsid w:val="003F4FBB"/>
    <w:rsid w:val="003F5122"/>
    <w:rsid w:val="003F5C1E"/>
    <w:rsid w:val="00400066"/>
    <w:rsid w:val="004004AB"/>
    <w:rsid w:val="00400A93"/>
    <w:rsid w:val="00400EA1"/>
    <w:rsid w:val="00401226"/>
    <w:rsid w:val="00401D8D"/>
    <w:rsid w:val="00402BFD"/>
    <w:rsid w:val="004048D5"/>
    <w:rsid w:val="00405DA4"/>
    <w:rsid w:val="00407654"/>
    <w:rsid w:val="00410347"/>
    <w:rsid w:val="0041084B"/>
    <w:rsid w:val="004137E0"/>
    <w:rsid w:val="004160EF"/>
    <w:rsid w:val="0041663F"/>
    <w:rsid w:val="00416C5A"/>
    <w:rsid w:val="004208C6"/>
    <w:rsid w:val="00421B06"/>
    <w:rsid w:val="00426676"/>
    <w:rsid w:val="00430D2A"/>
    <w:rsid w:val="0043241D"/>
    <w:rsid w:val="00432806"/>
    <w:rsid w:val="0043349F"/>
    <w:rsid w:val="00433885"/>
    <w:rsid w:val="00435878"/>
    <w:rsid w:val="00435995"/>
    <w:rsid w:val="00436483"/>
    <w:rsid w:val="00441A97"/>
    <w:rsid w:val="0044665C"/>
    <w:rsid w:val="0044729A"/>
    <w:rsid w:val="0045001C"/>
    <w:rsid w:val="00452EDC"/>
    <w:rsid w:val="00453576"/>
    <w:rsid w:val="00453CDD"/>
    <w:rsid w:val="00453EFF"/>
    <w:rsid w:val="00456BF1"/>
    <w:rsid w:val="004576F6"/>
    <w:rsid w:val="00462256"/>
    <w:rsid w:val="00462F96"/>
    <w:rsid w:val="004639D2"/>
    <w:rsid w:val="004665E0"/>
    <w:rsid w:val="004702CD"/>
    <w:rsid w:val="00471B35"/>
    <w:rsid w:val="00474B31"/>
    <w:rsid w:val="00476E54"/>
    <w:rsid w:val="0047773D"/>
    <w:rsid w:val="004818FA"/>
    <w:rsid w:val="00481AAC"/>
    <w:rsid w:val="00482449"/>
    <w:rsid w:val="004836F3"/>
    <w:rsid w:val="00483CD5"/>
    <w:rsid w:val="0048475F"/>
    <w:rsid w:val="00486A32"/>
    <w:rsid w:val="00486D12"/>
    <w:rsid w:val="00492226"/>
    <w:rsid w:val="00492613"/>
    <w:rsid w:val="0049353C"/>
    <w:rsid w:val="0049537C"/>
    <w:rsid w:val="0049630F"/>
    <w:rsid w:val="004965BD"/>
    <w:rsid w:val="00496711"/>
    <w:rsid w:val="004970B3"/>
    <w:rsid w:val="004A17E7"/>
    <w:rsid w:val="004A30B4"/>
    <w:rsid w:val="004A45B7"/>
    <w:rsid w:val="004B0270"/>
    <w:rsid w:val="004B0B59"/>
    <w:rsid w:val="004B2F77"/>
    <w:rsid w:val="004B3B6F"/>
    <w:rsid w:val="004B4286"/>
    <w:rsid w:val="004B4A2E"/>
    <w:rsid w:val="004B4E3B"/>
    <w:rsid w:val="004B5B33"/>
    <w:rsid w:val="004C1108"/>
    <w:rsid w:val="004C18DA"/>
    <w:rsid w:val="004C1DFD"/>
    <w:rsid w:val="004C1E89"/>
    <w:rsid w:val="004C3038"/>
    <w:rsid w:val="004C4C5C"/>
    <w:rsid w:val="004C51F6"/>
    <w:rsid w:val="004C5B57"/>
    <w:rsid w:val="004D14E5"/>
    <w:rsid w:val="004D1E4E"/>
    <w:rsid w:val="004D56F6"/>
    <w:rsid w:val="004D5930"/>
    <w:rsid w:val="004D593B"/>
    <w:rsid w:val="004E0F85"/>
    <w:rsid w:val="004E1720"/>
    <w:rsid w:val="004E2A94"/>
    <w:rsid w:val="004E33E2"/>
    <w:rsid w:val="004E48F6"/>
    <w:rsid w:val="004E4BD8"/>
    <w:rsid w:val="004E6EDF"/>
    <w:rsid w:val="004F1D4E"/>
    <w:rsid w:val="004F3D0E"/>
    <w:rsid w:val="004F4683"/>
    <w:rsid w:val="004F486B"/>
    <w:rsid w:val="004F544E"/>
    <w:rsid w:val="005020CC"/>
    <w:rsid w:val="005047EB"/>
    <w:rsid w:val="005047EF"/>
    <w:rsid w:val="00507E83"/>
    <w:rsid w:val="00510644"/>
    <w:rsid w:val="00511F8A"/>
    <w:rsid w:val="005123DE"/>
    <w:rsid w:val="005154C0"/>
    <w:rsid w:val="005212A6"/>
    <w:rsid w:val="005215C9"/>
    <w:rsid w:val="00521BDF"/>
    <w:rsid w:val="005229AA"/>
    <w:rsid w:val="005232A3"/>
    <w:rsid w:val="005232DF"/>
    <w:rsid w:val="00523672"/>
    <w:rsid w:val="00524BAD"/>
    <w:rsid w:val="00524CCF"/>
    <w:rsid w:val="00525078"/>
    <w:rsid w:val="0052615A"/>
    <w:rsid w:val="00527CFC"/>
    <w:rsid w:val="00527F4E"/>
    <w:rsid w:val="00530444"/>
    <w:rsid w:val="00530A23"/>
    <w:rsid w:val="00530F7A"/>
    <w:rsid w:val="00533E87"/>
    <w:rsid w:val="00534F93"/>
    <w:rsid w:val="00535652"/>
    <w:rsid w:val="00536F3F"/>
    <w:rsid w:val="0053768C"/>
    <w:rsid w:val="00537B1A"/>
    <w:rsid w:val="0054247F"/>
    <w:rsid w:val="00545806"/>
    <w:rsid w:val="0054595A"/>
    <w:rsid w:val="00550255"/>
    <w:rsid w:val="00550644"/>
    <w:rsid w:val="005516FC"/>
    <w:rsid w:val="00551A4D"/>
    <w:rsid w:val="00551A89"/>
    <w:rsid w:val="005537AA"/>
    <w:rsid w:val="00557377"/>
    <w:rsid w:val="0055752E"/>
    <w:rsid w:val="00557BCD"/>
    <w:rsid w:val="00557D71"/>
    <w:rsid w:val="005633E4"/>
    <w:rsid w:val="0056410D"/>
    <w:rsid w:val="00567123"/>
    <w:rsid w:val="00573E5C"/>
    <w:rsid w:val="005742B0"/>
    <w:rsid w:val="005774DD"/>
    <w:rsid w:val="005805C9"/>
    <w:rsid w:val="005814FC"/>
    <w:rsid w:val="00586683"/>
    <w:rsid w:val="00586BDA"/>
    <w:rsid w:val="005872CF"/>
    <w:rsid w:val="00587EA2"/>
    <w:rsid w:val="0059477B"/>
    <w:rsid w:val="00594F72"/>
    <w:rsid w:val="00595ADC"/>
    <w:rsid w:val="00597C5E"/>
    <w:rsid w:val="005A0843"/>
    <w:rsid w:val="005A16C0"/>
    <w:rsid w:val="005A1A22"/>
    <w:rsid w:val="005A2679"/>
    <w:rsid w:val="005A2946"/>
    <w:rsid w:val="005A30BA"/>
    <w:rsid w:val="005A3574"/>
    <w:rsid w:val="005A3C42"/>
    <w:rsid w:val="005A481F"/>
    <w:rsid w:val="005A5DE7"/>
    <w:rsid w:val="005A685F"/>
    <w:rsid w:val="005A688D"/>
    <w:rsid w:val="005B19D4"/>
    <w:rsid w:val="005B2F8F"/>
    <w:rsid w:val="005B30FE"/>
    <w:rsid w:val="005B3D13"/>
    <w:rsid w:val="005B4A03"/>
    <w:rsid w:val="005B6CAC"/>
    <w:rsid w:val="005B6FB3"/>
    <w:rsid w:val="005B7610"/>
    <w:rsid w:val="005C0694"/>
    <w:rsid w:val="005C4C09"/>
    <w:rsid w:val="005D0B19"/>
    <w:rsid w:val="005D0B91"/>
    <w:rsid w:val="005D23FC"/>
    <w:rsid w:val="005D34C7"/>
    <w:rsid w:val="005D4B6D"/>
    <w:rsid w:val="005D5814"/>
    <w:rsid w:val="005D5AFE"/>
    <w:rsid w:val="005D60B9"/>
    <w:rsid w:val="005D7066"/>
    <w:rsid w:val="005E2003"/>
    <w:rsid w:val="005E202B"/>
    <w:rsid w:val="005E4B52"/>
    <w:rsid w:val="005E5CC2"/>
    <w:rsid w:val="005E68B0"/>
    <w:rsid w:val="005F24B5"/>
    <w:rsid w:val="005F4156"/>
    <w:rsid w:val="005F5BA7"/>
    <w:rsid w:val="005F5F8C"/>
    <w:rsid w:val="005F652F"/>
    <w:rsid w:val="005F6B9D"/>
    <w:rsid w:val="00600234"/>
    <w:rsid w:val="00600895"/>
    <w:rsid w:val="00600E5B"/>
    <w:rsid w:val="00606165"/>
    <w:rsid w:val="006070F5"/>
    <w:rsid w:val="00607E22"/>
    <w:rsid w:val="006101E5"/>
    <w:rsid w:val="0061054B"/>
    <w:rsid w:val="00610D85"/>
    <w:rsid w:val="00613E7C"/>
    <w:rsid w:val="00616C2B"/>
    <w:rsid w:val="006201D1"/>
    <w:rsid w:val="00621077"/>
    <w:rsid w:val="00623964"/>
    <w:rsid w:val="00625C55"/>
    <w:rsid w:val="00630555"/>
    <w:rsid w:val="00637011"/>
    <w:rsid w:val="00637C36"/>
    <w:rsid w:val="0064081A"/>
    <w:rsid w:val="00644F33"/>
    <w:rsid w:val="006454DF"/>
    <w:rsid w:val="00645B11"/>
    <w:rsid w:val="0064664A"/>
    <w:rsid w:val="00646776"/>
    <w:rsid w:val="00647B6E"/>
    <w:rsid w:val="006512D2"/>
    <w:rsid w:val="00651452"/>
    <w:rsid w:val="00651897"/>
    <w:rsid w:val="006546F2"/>
    <w:rsid w:val="00655F93"/>
    <w:rsid w:val="00656322"/>
    <w:rsid w:val="00662AF1"/>
    <w:rsid w:val="00663C92"/>
    <w:rsid w:val="00664558"/>
    <w:rsid w:val="00664D06"/>
    <w:rsid w:val="00665560"/>
    <w:rsid w:val="00673922"/>
    <w:rsid w:val="00675B03"/>
    <w:rsid w:val="00675F1C"/>
    <w:rsid w:val="00676300"/>
    <w:rsid w:val="006766C9"/>
    <w:rsid w:val="006774ED"/>
    <w:rsid w:val="00677D3E"/>
    <w:rsid w:val="00680489"/>
    <w:rsid w:val="00680A95"/>
    <w:rsid w:val="00681E5B"/>
    <w:rsid w:val="00683888"/>
    <w:rsid w:val="00685C73"/>
    <w:rsid w:val="00687D6F"/>
    <w:rsid w:val="0069294D"/>
    <w:rsid w:val="00695000"/>
    <w:rsid w:val="006A0787"/>
    <w:rsid w:val="006A09A2"/>
    <w:rsid w:val="006A1D8E"/>
    <w:rsid w:val="006A1ECC"/>
    <w:rsid w:val="006A25D8"/>
    <w:rsid w:val="006A2763"/>
    <w:rsid w:val="006A3BCA"/>
    <w:rsid w:val="006A4D16"/>
    <w:rsid w:val="006A69AE"/>
    <w:rsid w:val="006B0373"/>
    <w:rsid w:val="006B04C9"/>
    <w:rsid w:val="006B3C74"/>
    <w:rsid w:val="006B5B03"/>
    <w:rsid w:val="006C2845"/>
    <w:rsid w:val="006C2BFD"/>
    <w:rsid w:val="006C3202"/>
    <w:rsid w:val="006C3A49"/>
    <w:rsid w:val="006C56CE"/>
    <w:rsid w:val="006C71D7"/>
    <w:rsid w:val="006D0EA2"/>
    <w:rsid w:val="006D19CE"/>
    <w:rsid w:val="006D3AEC"/>
    <w:rsid w:val="006D4468"/>
    <w:rsid w:val="006D684B"/>
    <w:rsid w:val="006D7025"/>
    <w:rsid w:val="006D7FBB"/>
    <w:rsid w:val="006E1D65"/>
    <w:rsid w:val="006E20F5"/>
    <w:rsid w:val="006E4E2F"/>
    <w:rsid w:val="006E538B"/>
    <w:rsid w:val="006E629D"/>
    <w:rsid w:val="006E6CE1"/>
    <w:rsid w:val="006E6E1E"/>
    <w:rsid w:val="006E7957"/>
    <w:rsid w:val="006F0719"/>
    <w:rsid w:val="006F103C"/>
    <w:rsid w:val="006F4073"/>
    <w:rsid w:val="006F7C5C"/>
    <w:rsid w:val="0070300C"/>
    <w:rsid w:val="00705F1A"/>
    <w:rsid w:val="00706B10"/>
    <w:rsid w:val="00710116"/>
    <w:rsid w:val="0071116F"/>
    <w:rsid w:val="00711B57"/>
    <w:rsid w:val="007124F5"/>
    <w:rsid w:val="007125B7"/>
    <w:rsid w:val="00713801"/>
    <w:rsid w:val="00713E90"/>
    <w:rsid w:val="00715922"/>
    <w:rsid w:val="00715F4E"/>
    <w:rsid w:val="007175C2"/>
    <w:rsid w:val="00720215"/>
    <w:rsid w:val="00722358"/>
    <w:rsid w:val="00725A29"/>
    <w:rsid w:val="007272B5"/>
    <w:rsid w:val="00727729"/>
    <w:rsid w:val="00730605"/>
    <w:rsid w:val="00733CB8"/>
    <w:rsid w:val="00735718"/>
    <w:rsid w:val="00736C04"/>
    <w:rsid w:val="00740486"/>
    <w:rsid w:val="00742FBA"/>
    <w:rsid w:val="00751B85"/>
    <w:rsid w:val="007531E3"/>
    <w:rsid w:val="00756016"/>
    <w:rsid w:val="00756BAF"/>
    <w:rsid w:val="007627F2"/>
    <w:rsid w:val="00763A3B"/>
    <w:rsid w:val="00763CBF"/>
    <w:rsid w:val="00765B59"/>
    <w:rsid w:val="00767A9B"/>
    <w:rsid w:val="007704A0"/>
    <w:rsid w:val="007726A9"/>
    <w:rsid w:val="00772E24"/>
    <w:rsid w:val="00773307"/>
    <w:rsid w:val="00774BDE"/>
    <w:rsid w:val="007763D9"/>
    <w:rsid w:val="00777344"/>
    <w:rsid w:val="007818AD"/>
    <w:rsid w:val="0078309D"/>
    <w:rsid w:val="0078445C"/>
    <w:rsid w:val="007867A8"/>
    <w:rsid w:val="00791B0C"/>
    <w:rsid w:val="0079306D"/>
    <w:rsid w:val="00794614"/>
    <w:rsid w:val="00795B5C"/>
    <w:rsid w:val="007A05E1"/>
    <w:rsid w:val="007A3227"/>
    <w:rsid w:val="007B01A7"/>
    <w:rsid w:val="007B057B"/>
    <w:rsid w:val="007B1EE8"/>
    <w:rsid w:val="007B33B8"/>
    <w:rsid w:val="007B5EF7"/>
    <w:rsid w:val="007C00D3"/>
    <w:rsid w:val="007C17F9"/>
    <w:rsid w:val="007C1DB6"/>
    <w:rsid w:val="007C34E3"/>
    <w:rsid w:val="007C6074"/>
    <w:rsid w:val="007C653D"/>
    <w:rsid w:val="007C6573"/>
    <w:rsid w:val="007C740F"/>
    <w:rsid w:val="007D0047"/>
    <w:rsid w:val="007D4CF0"/>
    <w:rsid w:val="007D5560"/>
    <w:rsid w:val="007D69FF"/>
    <w:rsid w:val="007D7CB1"/>
    <w:rsid w:val="007E0025"/>
    <w:rsid w:val="007E43B9"/>
    <w:rsid w:val="007E4A3F"/>
    <w:rsid w:val="007E608A"/>
    <w:rsid w:val="007E7631"/>
    <w:rsid w:val="007F022A"/>
    <w:rsid w:val="007F08CA"/>
    <w:rsid w:val="007F0FFF"/>
    <w:rsid w:val="007F1371"/>
    <w:rsid w:val="007F2999"/>
    <w:rsid w:val="007F377A"/>
    <w:rsid w:val="007F4390"/>
    <w:rsid w:val="007F4A9D"/>
    <w:rsid w:val="007F5F4D"/>
    <w:rsid w:val="007F65E5"/>
    <w:rsid w:val="007F7169"/>
    <w:rsid w:val="008005B5"/>
    <w:rsid w:val="00801BA9"/>
    <w:rsid w:val="008023B8"/>
    <w:rsid w:val="008063E0"/>
    <w:rsid w:val="00806E77"/>
    <w:rsid w:val="00807F58"/>
    <w:rsid w:val="00807F95"/>
    <w:rsid w:val="0081295C"/>
    <w:rsid w:val="00815937"/>
    <w:rsid w:val="00816B70"/>
    <w:rsid w:val="00820073"/>
    <w:rsid w:val="00820682"/>
    <w:rsid w:val="00820E1D"/>
    <w:rsid w:val="008213A4"/>
    <w:rsid w:val="00823362"/>
    <w:rsid w:val="00830E28"/>
    <w:rsid w:val="00833F0F"/>
    <w:rsid w:val="0083694D"/>
    <w:rsid w:val="00837224"/>
    <w:rsid w:val="0083725A"/>
    <w:rsid w:val="00837927"/>
    <w:rsid w:val="00837C7F"/>
    <w:rsid w:val="008418A8"/>
    <w:rsid w:val="00843169"/>
    <w:rsid w:val="008444F1"/>
    <w:rsid w:val="008454BA"/>
    <w:rsid w:val="00846E0A"/>
    <w:rsid w:val="008510D0"/>
    <w:rsid w:val="00853739"/>
    <w:rsid w:val="00853BCC"/>
    <w:rsid w:val="00853C3A"/>
    <w:rsid w:val="0085454F"/>
    <w:rsid w:val="00855534"/>
    <w:rsid w:val="00855F8D"/>
    <w:rsid w:val="0085600E"/>
    <w:rsid w:val="00856C50"/>
    <w:rsid w:val="0085728E"/>
    <w:rsid w:val="00860EAF"/>
    <w:rsid w:val="00861BF9"/>
    <w:rsid w:val="0086252D"/>
    <w:rsid w:val="008629C5"/>
    <w:rsid w:val="00863CE6"/>
    <w:rsid w:val="00863F36"/>
    <w:rsid w:val="00867E59"/>
    <w:rsid w:val="00872982"/>
    <w:rsid w:val="008770B1"/>
    <w:rsid w:val="00880271"/>
    <w:rsid w:val="0088091F"/>
    <w:rsid w:val="00883834"/>
    <w:rsid w:val="00883A43"/>
    <w:rsid w:val="008843C2"/>
    <w:rsid w:val="00885907"/>
    <w:rsid w:val="0088653F"/>
    <w:rsid w:val="00890156"/>
    <w:rsid w:val="00891C51"/>
    <w:rsid w:val="0089439A"/>
    <w:rsid w:val="00894E0D"/>
    <w:rsid w:val="00896809"/>
    <w:rsid w:val="0089781B"/>
    <w:rsid w:val="00897995"/>
    <w:rsid w:val="008A13C5"/>
    <w:rsid w:val="008A4499"/>
    <w:rsid w:val="008A44ED"/>
    <w:rsid w:val="008A63EA"/>
    <w:rsid w:val="008A6411"/>
    <w:rsid w:val="008A72DE"/>
    <w:rsid w:val="008A763B"/>
    <w:rsid w:val="008B0A64"/>
    <w:rsid w:val="008B0D35"/>
    <w:rsid w:val="008B0F3E"/>
    <w:rsid w:val="008B1759"/>
    <w:rsid w:val="008B3547"/>
    <w:rsid w:val="008B53A7"/>
    <w:rsid w:val="008B5A14"/>
    <w:rsid w:val="008B6A23"/>
    <w:rsid w:val="008C2351"/>
    <w:rsid w:val="008C2A00"/>
    <w:rsid w:val="008C3012"/>
    <w:rsid w:val="008C45DB"/>
    <w:rsid w:val="008C79DF"/>
    <w:rsid w:val="008D04EE"/>
    <w:rsid w:val="008D05B7"/>
    <w:rsid w:val="008D149F"/>
    <w:rsid w:val="008D26F6"/>
    <w:rsid w:val="008D324C"/>
    <w:rsid w:val="008D38F1"/>
    <w:rsid w:val="008D3C6C"/>
    <w:rsid w:val="008D6912"/>
    <w:rsid w:val="008D71CE"/>
    <w:rsid w:val="008D795F"/>
    <w:rsid w:val="008D7D0D"/>
    <w:rsid w:val="008E000B"/>
    <w:rsid w:val="008E05B4"/>
    <w:rsid w:val="008E0724"/>
    <w:rsid w:val="008E0AD8"/>
    <w:rsid w:val="008E0E3B"/>
    <w:rsid w:val="008E582E"/>
    <w:rsid w:val="008E5B4D"/>
    <w:rsid w:val="008E601F"/>
    <w:rsid w:val="008E6FA8"/>
    <w:rsid w:val="008E747B"/>
    <w:rsid w:val="008F015D"/>
    <w:rsid w:val="008F1D96"/>
    <w:rsid w:val="008F1E79"/>
    <w:rsid w:val="008F2A31"/>
    <w:rsid w:val="008F338A"/>
    <w:rsid w:val="008F3634"/>
    <w:rsid w:val="008F66A7"/>
    <w:rsid w:val="00900919"/>
    <w:rsid w:val="00900CF1"/>
    <w:rsid w:val="009014B7"/>
    <w:rsid w:val="00902B13"/>
    <w:rsid w:val="00903D3E"/>
    <w:rsid w:val="009055D3"/>
    <w:rsid w:val="00905C03"/>
    <w:rsid w:val="009060CD"/>
    <w:rsid w:val="0090653A"/>
    <w:rsid w:val="00907A35"/>
    <w:rsid w:val="0091071C"/>
    <w:rsid w:val="00913B6C"/>
    <w:rsid w:val="00914B0E"/>
    <w:rsid w:val="0091545A"/>
    <w:rsid w:val="00915FEE"/>
    <w:rsid w:val="009161F2"/>
    <w:rsid w:val="00920199"/>
    <w:rsid w:val="0092064C"/>
    <w:rsid w:val="009207A4"/>
    <w:rsid w:val="0092095D"/>
    <w:rsid w:val="00920F02"/>
    <w:rsid w:val="00924D30"/>
    <w:rsid w:val="00925BF0"/>
    <w:rsid w:val="00926107"/>
    <w:rsid w:val="00927390"/>
    <w:rsid w:val="009321BF"/>
    <w:rsid w:val="00932FFC"/>
    <w:rsid w:val="009352B8"/>
    <w:rsid w:val="00935353"/>
    <w:rsid w:val="00935BD5"/>
    <w:rsid w:val="009361CA"/>
    <w:rsid w:val="009369DB"/>
    <w:rsid w:val="00941623"/>
    <w:rsid w:val="0094349E"/>
    <w:rsid w:val="009451E8"/>
    <w:rsid w:val="00946D62"/>
    <w:rsid w:val="00950052"/>
    <w:rsid w:val="00952086"/>
    <w:rsid w:val="00954BC4"/>
    <w:rsid w:val="00954FBE"/>
    <w:rsid w:val="00955B99"/>
    <w:rsid w:val="00956873"/>
    <w:rsid w:val="00957581"/>
    <w:rsid w:val="00960509"/>
    <w:rsid w:val="00962931"/>
    <w:rsid w:val="00964063"/>
    <w:rsid w:val="00964CEE"/>
    <w:rsid w:val="00964EEE"/>
    <w:rsid w:val="0097068D"/>
    <w:rsid w:val="00972CBB"/>
    <w:rsid w:val="00973EA4"/>
    <w:rsid w:val="00973F83"/>
    <w:rsid w:val="0097460F"/>
    <w:rsid w:val="00975516"/>
    <w:rsid w:val="00975BBA"/>
    <w:rsid w:val="0097601A"/>
    <w:rsid w:val="00976AE9"/>
    <w:rsid w:val="00983032"/>
    <w:rsid w:val="00983EBC"/>
    <w:rsid w:val="00987FEF"/>
    <w:rsid w:val="00990199"/>
    <w:rsid w:val="00990410"/>
    <w:rsid w:val="00990FA9"/>
    <w:rsid w:val="0099120E"/>
    <w:rsid w:val="00991439"/>
    <w:rsid w:val="00993435"/>
    <w:rsid w:val="0099491B"/>
    <w:rsid w:val="00995298"/>
    <w:rsid w:val="009969E4"/>
    <w:rsid w:val="00997D49"/>
    <w:rsid w:val="009A09D3"/>
    <w:rsid w:val="009A4612"/>
    <w:rsid w:val="009A4BAC"/>
    <w:rsid w:val="009B1A2C"/>
    <w:rsid w:val="009B42C1"/>
    <w:rsid w:val="009B47FE"/>
    <w:rsid w:val="009B5AED"/>
    <w:rsid w:val="009B5B3D"/>
    <w:rsid w:val="009C11F7"/>
    <w:rsid w:val="009C1480"/>
    <w:rsid w:val="009C213B"/>
    <w:rsid w:val="009C265A"/>
    <w:rsid w:val="009C2B51"/>
    <w:rsid w:val="009C2DF5"/>
    <w:rsid w:val="009C3E85"/>
    <w:rsid w:val="009C5400"/>
    <w:rsid w:val="009C630B"/>
    <w:rsid w:val="009C6678"/>
    <w:rsid w:val="009C7C39"/>
    <w:rsid w:val="009D1E05"/>
    <w:rsid w:val="009D6E94"/>
    <w:rsid w:val="009D7A41"/>
    <w:rsid w:val="009E0CE9"/>
    <w:rsid w:val="009E4E3B"/>
    <w:rsid w:val="009E5327"/>
    <w:rsid w:val="009E5CF7"/>
    <w:rsid w:val="009E6927"/>
    <w:rsid w:val="009F0BBF"/>
    <w:rsid w:val="009F1138"/>
    <w:rsid w:val="009F140F"/>
    <w:rsid w:val="009F2CF5"/>
    <w:rsid w:val="009F3A34"/>
    <w:rsid w:val="009F45D0"/>
    <w:rsid w:val="009F4BF4"/>
    <w:rsid w:val="00A010F0"/>
    <w:rsid w:val="00A03C4D"/>
    <w:rsid w:val="00A048F5"/>
    <w:rsid w:val="00A05DE3"/>
    <w:rsid w:val="00A1106B"/>
    <w:rsid w:val="00A11337"/>
    <w:rsid w:val="00A16A2B"/>
    <w:rsid w:val="00A225F7"/>
    <w:rsid w:val="00A22880"/>
    <w:rsid w:val="00A2512B"/>
    <w:rsid w:val="00A25F50"/>
    <w:rsid w:val="00A27072"/>
    <w:rsid w:val="00A300DA"/>
    <w:rsid w:val="00A320F0"/>
    <w:rsid w:val="00A32572"/>
    <w:rsid w:val="00A36383"/>
    <w:rsid w:val="00A36DF9"/>
    <w:rsid w:val="00A40208"/>
    <w:rsid w:val="00A417C4"/>
    <w:rsid w:val="00A46C64"/>
    <w:rsid w:val="00A46E05"/>
    <w:rsid w:val="00A5205B"/>
    <w:rsid w:val="00A520A3"/>
    <w:rsid w:val="00A537B4"/>
    <w:rsid w:val="00A54A24"/>
    <w:rsid w:val="00A54F0B"/>
    <w:rsid w:val="00A569DB"/>
    <w:rsid w:val="00A56F2B"/>
    <w:rsid w:val="00A578E4"/>
    <w:rsid w:val="00A57B08"/>
    <w:rsid w:val="00A57FDA"/>
    <w:rsid w:val="00A6350C"/>
    <w:rsid w:val="00A651EE"/>
    <w:rsid w:val="00A655C1"/>
    <w:rsid w:val="00A65DF9"/>
    <w:rsid w:val="00A672C2"/>
    <w:rsid w:val="00A677E3"/>
    <w:rsid w:val="00A7260F"/>
    <w:rsid w:val="00A73C5A"/>
    <w:rsid w:val="00A75CE5"/>
    <w:rsid w:val="00A767F0"/>
    <w:rsid w:val="00A77713"/>
    <w:rsid w:val="00A81BCC"/>
    <w:rsid w:val="00A834CB"/>
    <w:rsid w:val="00A83989"/>
    <w:rsid w:val="00A84B83"/>
    <w:rsid w:val="00A86AB6"/>
    <w:rsid w:val="00A90B28"/>
    <w:rsid w:val="00A95C2F"/>
    <w:rsid w:val="00A97792"/>
    <w:rsid w:val="00AA156E"/>
    <w:rsid w:val="00AA16E1"/>
    <w:rsid w:val="00AA343A"/>
    <w:rsid w:val="00AA473C"/>
    <w:rsid w:val="00AA4FD7"/>
    <w:rsid w:val="00AA550A"/>
    <w:rsid w:val="00AA5B27"/>
    <w:rsid w:val="00AA6D08"/>
    <w:rsid w:val="00AB140B"/>
    <w:rsid w:val="00AB1E5B"/>
    <w:rsid w:val="00AB2C2B"/>
    <w:rsid w:val="00AB2E38"/>
    <w:rsid w:val="00AB40C0"/>
    <w:rsid w:val="00AB475B"/>
    <w:rsid w:val="00AB6046"/>
    <w:rsid w:val="00AC0BB2"/>
    <w:rsid w:val="00AC0D8B"/>
    <w:rsid w:val="00AC182A"/>
    <w:rsid w:val="00AC2FE6"/>
    <w:rsid w:val="00AC3748"/>
    <w:rsid w:val="00AC66A8"/>
    <w:rsid w:val="00AC7C2F"/>
    <w:rsid w:val="00AC7DDD"/>
    <w:rsid w:val="00AD04B3"/>
    <w:rsid w:val="00AD0898"/>
    <w:rsid w:val="00AD17C0"/>
    <w:rsid w:val="00AD18D5"/>
    <w:rsid w:val="00AD2111"/>
    <w:rsid w:val="00AD3FB8"/>
    <w:rsid w:val="00AD4A92"/>
    <w:rsid w:val="00AD7336"/>
    <w:rsid w:val="00AE2778"/>
    <w:rsid w:val="00AE2CC9"/>
    <w:rsid w:val="00AE3C51"/>
    <w:rsid w:val="00AF22ED"/>
    <w:rsid w:val="00AF3067"/>
    <w:rsid w:val="00AF42A5"/>
    <w:rsid w:val="00AF442A"/>
    <w:rsid w:val="00AF4BEB"/>
    <w:rsid w:val="00AF6BF4"/>
    <w:rsid w:val="00AF74AD"/>
    <w:rsid w:val="00B0041C"/>
    <w:rsid w:val="00B016A4"/>
    <w:rsid w:val="00B02B53"/>
    <w:rsid w:val="00B02F51"/>
    <w:rsid w:val="00B03F78"/>
    <w:rsid w:val="00B04B4A"/>
    <w:rsid w:val="00B05E1D"/>
    <w:rsid w:val="00B05FBD"/>
    <w:rsid w:val="00B1200F"/>
    <w:rsid w:val="00B122B6"/>
    <w:rsid w:val="00B14B80"/>
    <w:rsid w:val="00B154CC"/>
    <w:rsid w:val="00B158E9"/>
    <w:rsid w:val="00B15EB0"/>
    <w:rsid w:val="00B1698C"/>
    <w:rsid w:val="00B20F11"/>
    <w:rsid w:val="00B21573"/>
    <w:rsid w:val="00B21A7D"/>
    <w:rsid w:val="00B22525"/>
    <w:rsid w:val="00B234CD"/>
    <w:rsid w:val="00B2528F"/>
    <w:rsid w:val="00B25F9B"/>
    <w:rsid w:val="00B26A5A"/>
    <w:rsid w:val="00B2724A"/>
    <w:rsid w:val="00B2789F"/>
    <w:rsid w:val="00B27A05"/>
    <w:rsid w:val="00B32847"/>
    <w:rsid w:val="00B32CDF"/>
    <w:rsid w:val="00B33A6E"/>
    <w:rsid w:val="00B35D81"/>
    <w:rsid w:val="00B4069C"/>
    <w:rsid w:val="00B41B1E"/>
    <w:rsid w:val="00B43F17"/>
    <w:rsid w:val="00B448C1"/>
    <w:rsid w:val="00B44952"/>
    <w:rsid w:val="00B502A9"/>
    <w:rsid w:val="00B539BA"/>
    <w:rsid w:val="00B575B5"/>
    <w:rsid w:val="00B57EA0"/>
    <w:rsid w:val="00B6164A"/>
    <w:rsid w:val="00B65170"/>
    <w:rsid w:val="00B666C1"/>
    <w:rsid w:val="00B672CC"/>
    <w:rsid w:val="00B70495"/>
    <w:rsid w:val="00B71214"/>
    <w:rsid w:val="00B7252D"/>
    <w:rsid w:val="00B74CB0"/>
    <w:rsid w:val="00B750ED"/>
    <w:rsid w:val="00B77070"/>
    <w:rsid w:val="00B77C38"/>
    <w:rsid w:val="00B77FE2"/>
    <w:rsid w:val="00B83743"/>
    <w:rsid w:val="00B83C60"/>
    <w:rsid w:val="00B84BEB"/>
    <w:rsid w:val="00B86987"/>
    <w:rsid w:val="00B9110F"/>
    <w:rsid w:val="00B911E0"/>
    <w:rsid w:val="00B917E4"/>
    <w:rsid w:val="00B91AC4"/>
    <w:rsid w:val="00B950F1"/>
    <w:rsid w:val="00B950F4"/>
    <w:rsid w:val="00B95BBB"/>
    <w:rsid w:val="00BA01F7"/>
    <w:rsid w:val="00BA1015"/>
    <w:rsid w:val="00BA1110"/>
    <w:rsid w:val="00BA1C67"/>
    <w:rsid w:val="00BA217B"/>
    <w:rsid w:val="00BA2AB1"/>
    <w:rsid w:val="00BA4424"/>
    <w:rsid w:val="00BA55C6"/>
    <w:rsid w:val="00BA6076"/>
    <w:rsid w:val="00BB2D2C"/>
    <w:rsid w:val="00BB4875"/>
    <w:rsid w:val="00BB684E"/>
    <w:rsid w:val="00BC27C4"/>
    <w:rsid w:val="00BC5E1A"/>
    <w:rsid w:val="00BD2C52"/>
    <w:rsid w:val="00BD6C2B"/>
    <w:rsid w:val="00BE19CA"/>
    <w:rsid w:val="00BE20B8"/>
    <w:rsid w:val="00BE2EC9"/>
    <w:rsid w:val="00BE414D"/>
    <w:rsid w:val="00BE4465"/>
    <w:rsid w:val="00BE5256"/>
    <w:rsid w:val="00BE6689"/>
    <w:rsid w:val="00BE7998"/>
    <w:rsid w:val="00BF1B2A"/>
    <w:rsid w:val="00BF1CCA"/>
    <w:rsid w:val="00BF5398"/>
    <w:rsid w:val="00BF6489"/>
    <w:rsid w:val="00C007C2"/>
    <w:rsid w:val="00C03F5C"/>
    <w:rsid w:val="00C110D9"/>
    <w:rsid w:val="00C1657E"/>
    <w:rsid w:val="00C16840"/>
    <w:rsid w:val="00C16D1D"/>
    <w:rsid w:val="00C20DD9"/>
    <w:rsid w:val="00C211C5"/>
    <w:rsid w:val="00C2161D"/>
    <w:rsid w:val="00C2195F"/>
    <w:rsid w:val="00C23FA2"/>
    <w:rsid w:val="00C241AB"/>
    <w:rsid w:val="00C31886"/>
    <w:rsid w:val="00C31AA5"/>
    <w:rsid w:val="00C33AAF"/>
    <w:rsid w:val="00C33FD0"/>
    <w:rsid w:val="00C34327"/>
    <w:rsid w:val="00C3782F"/>
    <w:rsid w:val="00C378A9"/>
    <w:rsid w:val="00C37DEA"/>
    <w:rsid w:val="00C40CEA"/>
    <w:rsid w:val="00C42791"/>
    <w:rsid w:val="00C43C05"/>
    <w:rsid w:val="00C516B1"/>
    <w:rsid w:val="00C53C00"/>
    <w:rsid w:val="00C561A7"/>
    <w:rsid w:val="00C565F7"/>
    <w:rsid w:val="00C5670E"/>
    <w:rsid w:val="00C56E4C"/>
    <w:rsid w:val="00C57562"/>
    <w:rsid w:val="00C57BD1"/>
    <w:rsid w:val="00C61FD9"/>
    <w:rsid w:val="00C62993"/>
    <w:rsid w:val="00C6358F"/>
    <w:rsid w:val="00C64784"/>
    <w:rsid w:val="00C65753"/>
    <w:rsid w:val="00C65C0E"/>
    <w:rsid w:val="00C67DC4"/>
    <w:rsid w:val="00C71A3B"/>
    <w:rsid w:val="00C73C3D"/>
    <w:rsid w:val="00C749F8"/>
    <w:rsid w:val="00C764F2"/>
    <w:rsid w:val="00C77B97"/>
    <w:rsid w:val="00C80F72"/>
    <w:rsid w:val="00C83D0C"/>
    <w:rsid w:val="00C84C3E"/>
    <w:rsid w:val="00C84E80"/>
    <w:rsid w:val="00C87CED"/>
    <w:rsid w:val="00C9001E"/>
    <w:rsid w:val="00C91986"/>
    <w:rsid w:val="00C93DC0"/>
    <w:rsid w:val="00C94110"/>
    <w:rsid w:val="00C96237"/>
    <w:rsid w:val="00C96F3C"/>
    <w:rsid w:val="00C975A6"/>
    <w:rsid w:val="00C97DBA"/>
    <w:rsid w:val="00CA216C"/>
    <w:rsid w:val="00CA6F81"/>
    <w:rsid w:val="00CB2D5A"/>
    <w:rsid w:val="00CB3E1B"/>
    <w:rsid w:val="00CB61E9"/>
    <w:rsid w:val="00CC0E10"/>
    <w:rsid w:val="00CC651F"/>
    <w:rsid w:val="00CC70C9"/>
    <w:rsid w:val="00CC7C71"/>
    <w:rsid w:val="00CD0C4B"/>
    <w:rsid w:val="00CD1215"/>
    <w:rsid w:val="00CD1EBB"/>
    <w:rsid w:val="00CD22B2"/>
    <w:rsid w:val="00CD28D2"/>
    <w:rsid w:val="00CD54EB"/>
    <w:rsid w:val="00CD665F"/>
    <w:rsid w:val="00CD7248"/>
    <w:rsid w:val="00CD7E80"/>
    <w:rsid w:val="00CE0BB6"/>
    <w:rsid w:val="00CE1014"/>
    <w:rsid w:val="00CE2A9E"/>
    <w:rsid w:val="00CE2AAB"/>
    <w:rsid w:val="00CE31B4"/>
    <w:rsid w:val="00CE5C3A"/>
    <w:rsid w:val="00CE66E7"/>
    <w:rsid w:val="00CE79D2"/>
    <w:rsid w:val="00CF28DB"/>
    <w:rsid w:val="00CF2EA9"/>
    <w:rsid w:val="00CF3543"/>
    <w:rsid w:val="00CF360B"/>
    <w:rsid w:val="00CF4BD6"/>
    <w:rsid w:val="00CF6299"/>
    <w:rsid w:val="00CF7D8F"/>
    <w:rsid w:val="00D00110"/>
    <w:rsid w:val="00D028F2"/>
    <w:rsid w:val="00D044D5"/>
    <w:rsid w:val="00D045CC"/>
    <w:rsid w:val="00D065D2"/>
    <w:rsid w:val="00D07284"/>
    <w:rsid w:val="00D1113A"/>
    <w:rsid w:val="00D11E13"/>
    <w:rsid w:val="00D12733"/>
    <w:rsid w:val="00D14044"/>
    <w:rsid w:val="00D140DB"/>
    <w:rsid w:val="00D15772"/>
    <w:rsid w:val="00D16378"/>
    <w:rsid w:val="00D16702"/>
    <w:rsid w:val="00D20349"/>
    <w:rsid w:val="00D20A9E"/>
    <w:rsid w:val="00D2244C"/>
    <w:rsid w:val="00D2298B"/>
    <w:rsid w:val="00D231C3"/>
    <w:rsid w:val="00D24BC2"/>
    <w:rsid w:val="00D258B5"/>
    <w:rsid w:val="00D27B23"/>
    <w:rsid w:val="00D308D7"/>
    <w:rsid w:val="00D31F06"/>
    <w:rsid w:val="00D34BEF"/>
    <w:rsid w:val="00D34C64"/>
    <w:rsid w:val="00D35CFB"/>
    <w:rsid w:val="00D36801"/>
    <w:rsid w:val="00D36D38"/>
    <w:rsid w:val="00D43E37"/>
    <w:rsid w:val="00D43F44"/>
    <w:rsid w:val="00D45197"/>
    <w:rsid w:val="00D4575E"/>
    <w:rsid w:val="00D51B35"/>
    <w:rsid w:val="00D52406"/>
    <w:rsid w:val="00D53A57"/>
    <w:rsid w:val="00D56E8B"/>
    <w:rsid w:val="00D63DAF"/>
    <w:rsid w:val="00D6579B"/>
    <w:rsid w:val="00D66463"/>
    <w:rsid w:val="00D675EA"/>
    <w:rsid w:val="00D67FAA"/>
    <w:rsid w:val="00D7102B"/>
    <w:rsid w:val="00D71C4C"/>
    <w:rsid w:val="00D72798"/>
    <w:rsid w:val="00D729B5"/>
    <w:rsid w:val="00D8073C"/>
    <w:rsid w:val="00D81BD0"/>
    <w:rsid w:val="00D826F4"/>
    <w:rsid w:val="00D827A7"/>
    <w:rsid w:val="00D84B6A"/>
    <w:rsid w:val="00D854ED"/>
    <w:rsid w:val="00D86E21"/>
    <w:rsid w:val="00D875DB"/>
    <w:rsid w:val="00D9054F"/>
    <w:rsid w:val="00D912E1"/>
    <w:rsid w:val="00D92A3D"/>
    <w:rsid w:val="00D93DFA"/>
    <w:rsid w:val="00D94509"/>
    <w:rsid w:val="00D94632"/>
    <w:rsid w:val="00D97602"/>
    <w:rsid w:val="00DA16D7"/>
    <w:rsid w:val="00DA261B"/>
    <w:rsid w:val="00DA2FF5"/>
    <w:rsid w:val="00DA43BC"/>
    <w:rsid w:val="00DA4CF7"/>
    <w:rsid w:val="00DA4DC4"/>
    <w:rsid w:val="00DA7507"/>
    <w:rsid w:val="00DA7C63"/>
    <w:rsid w:val="00DA7D2C"/>
    <w:rsid w:val="00DB046F"/>
    <w:rsid w:val="00DB058C"/>
    <w:rsid w:val="00DB09C0"/>
    <w:rsid w:val="00DB3C1B"/>
    <w:rsid w:val="00DB41E2"/>
    <w:rsid w:val="00DB57D8"/>
    <w:rsid w:val="00DB68C4"/>
    <w:rsid w:val="00DC052B"/>
    <w:rsid w:val="00DC22F9"/>
    <w:rsid w:val="00DC5B48"/>
    <w:rsid w:val="00DC5DF9"/>
    <w:rsid w:val="00DC63FF"/>
    <w:rsid w:val="00DC7ED3"/>
    <w:rsid w:val="00DD077A"/>
    <w:rsid w:val="00DD1B27"/>
    <w:rsid w:val="00DD1B3D"/>
    <w:rsid w:val="00DD36CA"/>
    <w:rsid w:val="00DD373B"/>
    <w:rsid w:val="00DD6FC4"/>
    <w:rsid w:val="00DD7D55"/>
    <w:rsid w:val="00DD7FD4"/>
    <w:rsid w:val="00DE025A"/>
    <w:rsid w:val="00DE431F"/>
    <w:rsid w:val="00DE60F6"/>
    <w:rsid w:val="00DF3907"/>
    <w:rsid w:val="00DF3914"/>
    <w:rsid w:val="00E0050B"/>
    <w:rsid w:val="00E01672"/>
    <w:rsid w:val="00E0216C"/>
    <w:rsid w:val="00E0330C"/>
    <w:rsid w:val="00E04B24"/>
    <w:rsid w:val="00E06888"/>
    <w:rsid w:val="00E13C5E"/>
    <w:rsid w:val="00E20886"/>
    <w:rsid w:val="00E21B23"/>
    <w:rsid w:val="00E22A83"/>
    <w:rsid w:val="00E22EA8"/>
    <w:rsid w:val="00E22F62"/>
    <w:rsid w:val="00E23297"/>
    <w:rsid w:val="00E2684A"/>
    <w:rsid w:val="00E31042"/>
    <w:rsid w:val="00E31E85"/>
    <w:rsid w:val="00E34ADC"/>
    <w:rsid w:val="00E41AB6"/>
    <w:rsid w:val="00E41C35"/>
    <w:rsid w:val="00E42625"/>
    <w:rsid w:val="00E429D8"/>
    <w:rsid w:val="00E42F6B"/>
    <w:rsid w:val="00E45740"/>
    <w:rsid w:val="00E459CB"/>
    <w:rsid w:val="00E4787A"/>
    <w:rsid w:val="00E47949"/>
    <w:rsid w:val="00E50211"/>
    <w:rsid w:val="00E503A5"/>
    <w:rsid w:val="00E5383F"/>
    <w:rsid w:val="00E53F04"/>
    <w:rsid w:val="00E569ED"/>
    <w:rsid w:val="00E62120"/>
    <w:rsid w:val="00E64088"/>
    <w:rsid w:val="00E67305"/>
    <w:rsid w:val="00E674A0"/>
    <w:rsid w:val="00E70FD2"/>
    <w:rsid w:val="00E71D07"/>
    <w:rsid w:val="00E7258B"/>
    <w:rsid w:val="00E73B2B"/>
    <w:rsid w:val="00E7491D"/>
    <w:rsid w:val="00E76C82"/>
    <w:rsid w:val="00E77286"/>
    <w:rsid w:val="00E775C7"/>
    <w:rsid w:val="00E80CC6"/>
    <w:rsid w:val="00E81598"/>
    <w:rsid w:val="00E81D09"/>
    <w:rsid w:val="00E832E7"/>
    <w:rsid w:val="00E84587"/>
    <w:rsid w:val="00E854DB"/>
    <w:rsid w:val="00E85894"/>
    <w:rsid w:val="00E934CD"/>
    <w:rsid w:val="00E945BF"/>
    <w:rsid w:val="00E95B1D"/>
    <w:rsid w:val="00EA17BC"/>
    <w:rsid w:val="00EA197D"/>
    <w:rsid w:val="00EA2B7F"/>
    <w:rsid w:val="00EA3FF6"/>
    <w:rsid w:val="00EA51A2"/>
    <w:rsid w:val="00EA554C"/>
    <w:rsid w:val="00EA5676"/>
    <w:rsid w:val="00EA627C"/>
    <w:rsid w:val="00EA6639"/>
    <w:rsid w:val="00EA6AA2"/>
    <w:rsid w:val="00EA74E6"/>
    <w:rsid w:val="00EB08EB"/>
    <w:rsid w:val="00EB1426"/>
    <w:rsid w:val="00EB1DDD"/>
    <w:rsid w:val="00EB63EC"/>
    <w:rsid w:val="00EC0D9F"/>
    <w:rsid w:val="00EC14F0"/>
    <w:rsid w:val="00EC1782"/>
    <w:rsid w:val="00EC5383"/>
    <w:rsid w:val="00EC5BBE"/>
    <w:rsid w:val="00ED1BBA"/>
    <w:rsid w:val="00ED4CCC"/>
    <w:rsid w:val="00ED5002"/>
    <w:rsid w:val="00ED69A6"/>
    <w:rsid w:val="00EE0865"/>
    <w:rsid w:val="00EE0F5F"/>
    <w:rsid w:val="00EE15C6"/>
    <w:rsid w:val="00EE4A70"/>
    <w:rsid w:val="00EE522D"/>
    <w:rsid w:val="00EE5FD3"/>
    <w:rsid w:val="00EE758D"/>
    <w:rsid w:val="00EE7902"/>
    <w:rsid w:val="00EF04CC"/>
    <w:rsid w:val="00EF1C2B"/>
    <w:rsid w:val="00EF263E"/>
    <w:rsid w:val="00EF384D"/>
    <w:rsid w:val="00EF402B"/>
    <w:rsid w:val="00EF4194"/>
    <w:rsid w:val="00EF42EC"/>
    <w:rsid w:val="00EF44CA"/>
    <w:rsid w:val="00EF4E68"/>
    <w:rsid w:val="00EF5477"/>
    <w:rsid w:val="00EF6B79"/>
    <w:rsid w:val="00EF6BC6"/>
    <w:rsid w:val="00F0286A"/>
    <w:rsid w:val="00F0566E"/>
    <w:rsid w:val="00F064D3"/>
    <w:rsid w:val="00F06A69"/>
    <w:rsid w:val="00F07E3B"/>
    <w:rsid w:val="00F12C05"/>
    <w:rsid w:val="00F133FB"/>
    <w:rsid w:val="00F15D18"/>
    <w:rsid w:val="00F15D8D"/>
    <w:rsid w:val="00F172D5"/>
    <w:rsid w:val="00F1743B"/>
    <w:rsid w:val="00F20171"/>
    <w:rsid w:val="00F207D0"/>
    <w:rsid w:val="00F215CF"/>
    <w:rsid w:val="00F21B76"/>
    <w:rsid w:val="00F2286A"/>
    <w:rsid w:val="00F23DE3"/>
    <w:rsid w:val="00F240B0"/>
    <w:rsid w:val="00F24AF4"/>
    <w:rsid w:val="00F24D70"/>
    <w:rsid w:val="00F24EF7"/>
    <w:rsid w:val="00F2653C"/>
    <w:rsid w:val="00F275D4"/>
    <w:rsid w:val="00F3239E"/>
    <w:rsid w:val="00F32620"/>
    <w:rsid w:val="00F32667"/>
    <w:rsid w:val="00F33028"/>
    <w:rsid w:val="00F33647"/>
    <w:rsid w:val="00F36595"/>
    <w:rsid w:val="00F36B11"/>
    <w:rsid w:val="00F37EAC"/>
    <w:rsid w:val="00F400AB"/>
    <w:rsid w:val="00F41ADF"/>
    <w:rsid w:val="00F42849"/>
    <w:rsid w:val="00F43D94"/>
    <w:rsid w:val="00F464AD"/>
    <w:rsid w:val="00F4667F"/>
    <w:rsid w:val="00F4701C"/>
    <w:rsid w:val="00F536F9"/>
    <w:rsid w:val="00F53E0E"/>
    <w:rsid w:val="00F551A4"/>
    <w:rsid w:val="00F565D7"/>
    <w:rsid w:val="00F56E4B"/>
    <w:rsid w:val="00F57570"/>
    <w:rsid w:val="00F605C0"/>
    <w:rsid w:val="00F60A66"/>
    <w:rsid w:val="00F60D74"/>
    <w:rsid w:val="00F624A3"/>
    <w:rsid w:val="00F63AE1"/>
    <w:rsid w:val="00F64703"/>
    <w:rsid w:val="00F64A39"/>
    <w:rsid w:val="00F64B87"/>
    <w:rsid w:val="00F722A5"/>
    <w:rsid w:val="00F7293D"/>
    <w:rsid w:val="00F73C4E"/>
    <w:rsid w:val="00F75B1D"/>
    <w:rsid w:val="00F7651A"/>
    <w:rsid w:val="00F7714D"/>
    <w:rsid w:val="00F82553"/>
    <w:rsid w:val="00F834D4"/>
    <w:rsid w:val="00F85093"/>
    <w:rsid w:val="00F8661B"/>
    <w:rsid w:val="00F86DFC"/>
    <w:rsid w:val="00F9154F"/>
    <w:rsid w:val="00F92C73"/>
    <w:rsid w:val="00F93184"/>
    <w:rsid w:val="00F9454B"/>
    <w:rsid w:val="00F954E2"/>
    <w:rsid w:val="00FA03E9"/>
    <w:rsid w:val="00FA06D3"/>
    <w:rsid w:val="00FA0A98"/>
    <w:rsid w:val="00FA34D0"/>
    <w:rsid w:val="00FA3D50"/>
    <w:rsid w:val="00FA4CF3"/>
    <w:rsid w:val="00FA5454"/>
    <w:rsid w:val="00FA5DDE"/>
    <w:rsid w:val="00FA7C1B"/>
    <w:rsid w:val="00FB177C"/>
    <w:rsid w:val="00FB2884"/>
    <w:rsid w:val="00FB2CF9"/>
    <w:rsid w:val="00FB341C"/>
    <w:rsid w:val="00FB344C"/>
    <w:rsid w:val="00FB3515"/>
    <w:rsid w:val="00FB450D"/>
    <w:rsid w:val="00FB59F6"/>
    <w:rsid w:val="00FB682F"/>
    <w:rsid w:val="00FB7003"/>
    <w:rsid w:val="00FB7805"/>
    <w:rsid w:val="00FB7E32"/>
    <w:rsid w:val="00FC007A"/>
    <w:rsid w:val="00FC0F36"/>
    <w:rsid w:val="00FC1A22"/>
    <w:rsid w:val="00FC1B46"/>
    <w:rsid w:val="00FC267B"/>
    <w:rsid w:val="00FC2694"/>
    <w:rsid w:val="00FC427B"/>
    <w:rsid w:val="00FC5AAA"/>
    <w:rsid w:val="00FC5C01"/>
    <w:rsid w:val="00FC5F6F"/>
    <w:rsid w:val="00FD015C"/>
    <w:rsid w:val="00FD026C"/>
    <w:rsid w:val="00FD0718"/>
    <w:rsid w:val="00FD078D"/>
    <w:rsid w:val="00FD3F8F"/>
    <w:rsid w:val="00FD4177"/>
    <w:rsid w:val="00FD48F4"/>
    <w:rsid w:val="00FD4DC9"/>
    <w:rsid w:val="00FD6277"/>
    <w:rsid w:val="00FD6878"/>
    <w:rsid w:val="00FD6CA7"/>
    <w:rsid w:val="00FE0406"/>
    <w:rsid w:val="00FE04F6"/>
    <w:rsid w:val="00FE0BEE"/>
    <w:rsid w:val="00FE3B09"/>
    <w:rsid w:val="00FE4D07"/>
    <w:rsid w:val="00FE4E29"/>
    <w:rsid w:val="00FE53E4"/>
    <w:rsid w:val="00FE5FAC"/>
    <w:rsid w:val="00FF07EC"/>
    <w:rsid w:val="00FF1BDA"/>
    <w:rsid w:val="00FF29E3"/>
    <w:rsid w:val="00FF4D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next w:val="Standard"/>
    <w:qFormat/>
    <w:rsid w:val="00FB177C"/>
    <w:pPr>
      <w:keepNext/>
      <w:jc w:val="center"/>
      <w:outlineLvl w:val="1"/>
    </w:pPr>
    <w:rPr>
      <w:b/>
      <w:bCs/>
      <w:sz w:val="52"/>
    </w:rPr>
  </w:style>
  <w:style w:type="paragraph" w:styleId="berschrift3">
    <w:name w:val="heading 3"/>
    <w:basedOn w:val="Standard"/>
    <w:next w:val="Standard"/>
    <w:link w:val="berschrift3Zchn"/>
    <w:uiPriority w:val="9"/>
    <w:semiHidden/>
    <w:unhideWhenUsed/>
    <w:qFormat/>
    <w:rsid w:val="0044729A"/>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qFormat/>
    <w:rsid w:val="00C1657E"/>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B306E"/>
    <w:pPr>
      <w:tabs>
        <w:tab w:val="center" w:pos="4536"/>
        <w:tab w:val="right" w:pos="9072"/>
      </w:tabs>
    </w:pPr>
  </w:style>
  <w:style w:type="paragraph" w:styleId="Fuzeile">
    <w:name w:val="footer"/>
    <w:basedOn w:val="Standard"/>
    <w:rsid w:val="003B306E"/>
    <w:pPr>
      <w:tabs>
        <w:tab w:val="center" w:pos="4536"/>
        <w:tab w:val="right" w:pos="9072"/>
      </w:tabs>
    </w:pPr>
  </w:style>
  <w:style w:type="paragraph" w:styleId="Sprechblasentext">
    <w:name w:val="Balloon Text"/>
    <w:basedOn w:val="Standard"/>
    <w:semiHidden/>
    <w:rsid w:val="00647B6E"/>
    <w:rPr>
      <w:rFonts w:ascii="Tahoma" w:hAnsi="Tahoma" w:cs="Tahoma"/>
      <w:sz w:val="16"/>
      <w:szCs w:val="16"/>
    </w:rPr>
  </w:style>
  <w:style w:type="character" w:styleId="Hyperlink">
    <w:name w:val="Hyperlink"/>
    <w:rsid w:val="00975BBA"/>
    <w:rPr>
      <w:color w:val="0000FF"/>
      <w:u w:val="single"/>
    </w:rPr>
  </w:style>
  <w:style w:type="table" w:styleId="Tabellenraster">
    <w:name w:val="Table Grid"/>
    <w:basedOn w:val="NormaleTabelle"/>
    <w:rsid w:val="00072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82449"/>
  </w:style>
  <w:style w:type="paragraph" w:styleId="Textkrper2">
    <w:name w:val="Body Text 2"/>
    <w:basedOn w:val="Standard"/>
    <w:rsid w:val="0089439A"/>
    <w:rPr>
      <w:rFonts w:ascii="Arial" w:hAnsi="Arial" w:cs="Arial"/>
      <w:sz w:val="22"/>
    </w:rPr>
  </w:style>
  <w:style w:type="paragraph" w:styleId="StandardWeb">
    <w:name w:val="Normal (Web)"/>
    <w:basedOn w:val="Standard"/>
    <w:uiPriority w:val="99"/>
    <w:rsid w:val="00FB177C"/>
    <w:pPr>
      <w:spacing w:before="100" w:beforeAutospacing="1" w:after="100" w:afterAutospacing="1"/>
    </w:pPr>
    <w:rPr>
      <w:rFonts w:ascii="Arial" w:hAnsi="Arial" w:cs="Arial"/>
      <w:color w:val="000000"/>
      <w:sz w:val="20"/>
      <w:szCs w:val="20"/>
    </w:rPr>
  </w:style>
  <w:style w:type="paragraph" w:customStyle="1" w:styleId="Default">
    <w:name w:val="Default"/>
    <w:rsid w:val="00FB177C"/>
    <w:pPr>
      <w:autoSpaceDE w:val="0"/>
      <w:autoSpaceDN w:val="0"/>
      <w:adjustRightInd w:val="0"/>
    </w:pPr>
    <w:rPr>
      <w:rFonts w:ascii="Arial" w:hAnsi="Arial" w:cs="Arial"/>
      <w:color w:val="000000"/>
      <w:sz w:val="24"/>
      <w:szCs w:val="24"/>
    </w:rPr>
  </w:style>
  <w:style w:type="paragraph" w:styleId="Textkrper">
    <w:name w:val="Body Text"/>
    <w:basedOn w:val="Standard"/>
    <w:rsid w:val="00E20886"/>
    <w:pPr>
      <w:spacing w:after="120"/>
    </w:pPr>
  </w:style>
  <w:style w:type="paragraph" w:customStyle="1" w:styleId="StandardWeb1">
    <w:name w:val="Standard (Web)1"/>
    <w:basedOn w:val="Standard"/>
    <w:rsid w:val="00F85093"/>
    <w:rPr>
      <w:rFonts w:ascii="Verdana" w:hAnsi="Verdana"/>
      <w:sz w:val="22"/>
      <w:szCs w:val="22"/>
    </w:rPr>
  </w:style>
  <w:style w:type="character" w:customStyle="1" w:styleId="klein1">
    <w:name w:val="klein1"/>
    <w:rsid w:val="00843169"/>
    <w:rPr>
      <w:rFonts w:ascii="Arial" w:hAnsi="Arial" w:cs="Arial" w:hint="default"/>
      <w:strike w:val="0"/>
      <w:dstrike w:val="0"/>
      <w:color w:val="000000"/>
      <w:sz w:val="22"/>
      <w:szCs w:val="22"/>
      <w:u w:val="none"/>
      <w:effect w:val="none"/>
    </w:rPr>
  </w:style>
  <w:style w:type="character" w:styleId="Fett">
    <w:name w:val="Strong"/>
    <w:uiPriority w:val="22"/>
    <w:qFormat/>
    <w:rsid w:val="00076528"/>
    <w:rPr>
      <w:b/>
      <w:bCs/>
    </w:rPr>
  </w:style>
  <w:style w:type="character" w:styleId="Hervorhebung">
    <w:name w:val="Emphasis"/>
    <w:uiPriority w:val="20"/>
    <w:qFormat/>
    <w:rsid w:val="00673922"/>
    <w:rPr>
      <w:i/>
      <w:iCs/>
    </w:rPr>
  </w:style>
  <w:style w:type="character" w:styleId="BesuchterHyperlink">
    <w:name w:val="FollowedHyperlink"/>
    <w:rsid w:val="00915FEE"/>
    <w:rPr>
      <w:color w:val="800080"/>
      <w:u w:val="single"/>
    </w:rPr>
  </w:style>
  <w:style w:type="paragraph" w:styleId="Liste2">
    <w:name w:val="List 2"/>
    <w:basedOn w:val="Standard"/>
    <w:semiHidden/>
    <w:rsid w:val="00772E24"/>
    <w:pPr>
      <w:ind w:left="566" w:hanging="283"/>
    </w:pPr>
  </w:style>
  <w:style w:type="paragraph" w:styleId="Listenabsatz">
    <w:name w:val="List Paragraph"/>
    <w:basedOn w:val="Standard"/>
    <w:uiPriority w:val="34"/>
    <w:qFormat/>
    <w:rsid w:val="00462256"/>
    <w:pPr>
      <w:ind w:left="720"/>
      <w:contextualSpacing/>
    </w:pPr>
  </w:style>
  <w:style w:type="character" w:customStyle="1" w:styleId="object">
    <w:name w:val="object"/>
    <w:basedOn w:val="Absatz-Standardschriftart"/>
    <w:rsid w:val="00DA4DC4"/>
  </w:style>
  <w:style w:type="paragraph" w:styleId="KeinLeerraum">
    <w:name w:val="No Spacing"/>
    <w:uiPriority w:val="1"/>
    <w:qFormat/>
    <w:rsid w:val="00AA4FD7"/>
    <w:rPr>
      <w:rFonts w:ascii="Calibri" w:hAnsi="Calibri"/>
      <w:sz w:val="22"/>
      <w:szCs w:val="22"/>
    </w:rPr>
  </w:style>
  <w:style w:type="character" w:customStyle="1" w:styleId="apple-converted-space">
    <w:name w:val="apple-converted-space"/>
    <w:basedOn w:val="Absatz-Standardschriftart"/>
    <w:rsid w:val="00F43D94"/>
  </w:style>
  <w:style w:type="character" w:customStyle="1" w:styleId="fotograph">
    <w:name w:val="fotograph"/>
    <w:basedOn w:val="Absatz-Standardschriftart"/>
    <w:rsid w:val="00A834CB"/>
  </w:style>
  <w:style w:type="paragraph" w:customStyle="1" w:styleId="artikelsubheadline">
    <w:name w:val="artikelsubheadline"/>
    <w:basedOn w:val="Standard"/>
    <w:rsid w:val="00A834CB"/>
    <w:pPr>
      <w:spacing w:before="100" w:beforeAutospacing="1" w:after="100" w:afterAutospacing="1"/>
    </w:pPr>
  </w:style>
  <w:style w:type="paragraph" w:customStyle="1" w:styleId="Standard1">
    <w:name w:val="Standard1"/>
    <w:basedOn w:val="Standard"/>
    <w:rsid w:val="0083694D"/>
    <w:pPr>
      <w:spacing w:line="360" w:lineRule="auto"/>
      <w:jc w:val="both"/>
    </w:pPr>
    <w:rPr>
      <w:rFonts w:ascii="Arial" w:eastAsiaTheme="minorHAnsi" w:hAnsi="Arial" w:cs="Arial"/>
      <w:sz w:val="22"/>
      <w:szCs w:val="22"/>
    </w:rPr>
  </w:style>
  <w:style w:type="character" w:customStyle="1" w:styleId="TextZchn">
    <w:name w:val="Text Zchn"/>
    <w:basedOn w:val="Absatz-Standardschriftart"/>
    <w:link w:val="Text"/>
    <w:locked/>
    <w:rsid w:val="005E4B52"/>
    <w:rPr>
      <w:rFonts w:ascii="Myriad Pro" w:hAnsi="Myriad Pro"/>
    </w:rPr>
  </w:style>
  <w:style w:type="paragraph" w:customStyle="1" w:styleId="Text">
    <w:name w:val="Text"/>
    <w:basedOn w:val="Standard"/>
    <w:link w:val="TextZchn"/>
    <w:rsid w:val="005E4B52"/>
    <w:pPr>
      <w:tabs>
        <w:tab w:val="left" w:pos="720"/>
      </w:tabs>
      <w:overflowPunct w:val="0"/>
      <w:autoSpaceDE w:val="0"/>
      <w:autoSpaceDN w:val="0"/>
      <w:adjustRightInd w:val="0"/>
      <w:spacing w:after="120"/>
      <w:jc w:val="both"/>
    </w:pPr>
    <w:rPr>
      <w:rFonts w:ascii="Myriad Pro" w:hAnsi="Myriad Pro"/>
      <w:sz w:val="20"/>
      <w:szCs w:val="20"/>
    </w:rPr>
  </w:style>
  <w:style w:type="character" w:customStyle="1" w:styleId="berschrift3Zchn">
    <w:name w:val="Überschrift 3 Zchn"/>
    <w:basedOn w:val="Absatz-Standardschriftart"/>
    <w:link w:val="berschrift3"/>
    <w:uiPriority w:val="9"/>
    <w:semiHidden/>
    <w:rsid w:val="0044729A"/>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next w:val="Standard"/>
    <w:qFormat/>
    <w:rsid w:val="00FB177C"/>
    <w:pPr>
      <w:keepNext/>
      <w:jc w:val="center"/>
      <w:outlineLvl w:val="1"/>
    </w:pPr>
    <w:rPr>
      <w:b/>
      <w:bCs/>
      <w:sz w:val="52"/>
    </w:rPr>
  </w:style>
  <w:style w:type="paragraph" w:styleId="berschrift3">
    <w:name w:val="heading 3"/>
    <w:basedOn w:val="Standard"/>
    <w:next w:val="Standard"/>
    <w:link w:val="berschrift3Zchn"/>
    <w:uiPriority w:val="9"/>
    <w:semiHidden/>
    <w:unhideWhenUsed/>
    <w:qFormat/>
    <w:rsid w:val="0044729A"/>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qFormat/>
    <w:rsid w:val="00C1657E"/>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B306E"/>
    <w:pPr>
      <w:tabs>
        <w:tab w:val="center" w:pos="4536"/>
        <w:tab w:val="right" w:pos="9072"/>
      </w:tabs>
    </w:pPr>
  </w:style>
  <w:style w:type="paragraph" w:styleId="Fuzeile">
    <w:name w:val="footer"/>
    <w:basedOn w:val="Standard"/>
    <w:rsid w:val="003B306E"/>
    <w:pPr>
      <w:tabs>
        <w:tab w:val="center" w:pos="4536"/>
        <w:tab w:val="right" w:pos="9072"/>
      </w:tabs>
    </w:pPr>
  </w:style>
  <w:style w:type="paragraph" w:styleId="Sprechblasentext">
    <w:name w:val="Balloon Text"/>
    <w:basedOn w:val="Standard"/>
    <w:semiHidden/>
    <w:rsid w:val="00647B6E"/>
    <w:rPr>
      <w:rFonts w:ascii="Tahoma" w:hAnsi="Tahoma" w:cs="Tahoma"/>
      <w:sz w:val="16"/>
      <w:szCs w:val="16"/>
    </w:rPr>
  </w:style>
  <w:style w:type="character" w:styleId="Hyperlink">
    <w:name w:val="Hyperlink"/>
    <w:rsid w:val="00975BBA"/>
    <w:rPr>
      <w:color w:val="0000FF"/>
      <w:u w:val="single"/>
    </w:rPr>
  </w:style>
  <w:style w:type="table" w:styleId="Tabellenraster">
    <w:name w:val="Table Grid"/>
    <w:basedOn w:val="NormaleTabelle"/>
    <w:rsid w:val="00072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82449"/>
  </w:style>
  <w:style w:type="paragraph" w:styleId="Textkrper2">
    <w:name w:val="Body Text 2"/>
    <w:basedOn w:val="Standard"/>
    <w:rsid w:val="0089439A"/>
    <w:rPr>
      <w:rFonts w:ascii="Arial" w:hAnsi="Arial" w:cs="Arial"/>
      <w:sz w:val="22"/>
    </w:rPr>
  </w:style>
  <w:style w:type="paragraph" w:styleId="StandardWeb">
    <w:name w:val="Normal (Web)"/>
    <w:basedOn w:val="Standard"/>
    <w:uiPriority w:val="99"/>
    <w:rsid w:val="00FB177C"/>
    <w:pPr>
      <w:spacing w:before="100" w:beforeAutospacing="1" w:after="100" w:afterAutospacing="1"/>
    </w:pPr>
    <w:rPr>
      <w:rFonts w:ascii="Arial" w:hAnsi="Arial" w:cs="Arial"/>
      <w:color w:val="000000"/>
      <w:sz w:val="20"/>
      <w:szCs w:val="20"/>
    </w:rPr>
  </w:style>
  <w:style w:type="paragraph" w:customStyle="1" w:styleId="Default">
    <w:name w:val="Default"/>
    <w:rsid w:val="00FB177C"/>
    <w:pPr>
      <w:autoSpaceDE w:val="0"/>
      <w:autoSpaceDN w:val="0"/>
      <w:adjustRightInd w:val="0"/>
    </w:pPr>
    <w:rPr>
      <w:rFonts w:ascii="Arial" w:hAnsi="Arial" w:cs="Arial"/>
      <w:color w:val="000000"/>
      <w:sz w:val="24"/>
      <w:szCs w:val="24"/>
    </w:rPr>
  </w:style>
  <w:style w:type="paragraph" w:styleId="Textkrper">
    <w:name w:val="Body Text"/>
    <w:basedOn w:val="Standard"/>
    <w:rsid w:val="00E20886"/>
    <w:pPr>
      <w:spacing w:after="120"/>
    </w:pPr>
  </w:style>
  <w:style w:type="paragraph" w:customStyle="1" w:styleId="StandardWeb1">
    <w:name w:val="Standard (Web)1"/>
    <w:basedOn w:val="Standard"/>
    <w:rsid w:val="00F85093"/>
    <w:rPr>
      <w:rFonts w:ascii="Verdana" w:hAnsi="Verdana"/>
      <w:sz w:val="22"/>
      <w:szCs w:val="22"/>
    </w:rPr>
  </w:style>
  <w:style w:type="character" w:customStyle="1" w:styleId="klein1">
    <w:name w:val="klein1"/>
    <w:rsid w:val="00843169"/>
    <w:rPr>
      <w:rFonts w:ascii="Arial" w:hAnsi="Arial" w:cs="Arial" w:hint="default"/>
      <w:strike w:val="0"/>
      <w:dstrike w:val="0"/>
      <w:color w:val="000000"/>
      <w:sz w:val="22"/>
      <w:szCs w:val="22"/>
      <w:u w:val="none"/>
      <w:effect w:val="none"/>
    </w:rPr>
  </w:style>
  <w:style w:type="character" w:styleId="Fett">
    <w:name w:val="Strong"/>
    <w:uiPriority w:val="22"/>
    <w:qFormat/>
    <w:rsid w:val="00076528"/>
    <w:rPr>
      <w:b/>
      <w:bCs/>
    </w:rPr>
  </w:style>
  <w:style w:type="character" w:styleId="Hervorhebung">
    <w:name w:val="Emphasis"/>
    <w:uiPriority w:val="20"/>
    <w:qFormat/>
    <w:rsid w:val="00673922"/>
    <w:rPr>
      <w:i/>
      <w:iCs/>
    </w:rPr>
  </w:style>
  <w:style w:type="character" w:styleId="BesuchterHyperlink">
    <w:name w:val="FollowedHyperlink"/>
    <w:rsid w:val="00915FEE"/>
    <w:rPr>
      <w:color w:val="800080"/>
      <w:u w:val="single"/>
    </w:rPr>
  </w:style>
  <w:style w:type="paragraph" w:styleId="Liste2">
    <w:name w:val="List 2"/>
    <w:basedOn w:val="Standard"/>
    <w:semiHidden/>
    <w:rsid w:val="00772E24"/>
    <w:pPr>
      <w:ind w:left="566" w:hanging="283"/>
    </w:pPr>
  </w:style>
  <w:style w:type="paragraph" w:styleId="Listenabsatz">
    <w:name w:val="List Paragraph"/>
    <w:basedOn w:val="Standard"/>
    <w:uiPriority w:val="34"/>
    <w:qFormat/>
    <w:rsid w:val="00462256"/>
    <w:pPr>
      <w:ind w:left="720"/>
      <w:contextualSpacing/>
    </w:pPr>
  </w:style>
  <w:style w:type="character" w:customStyle="1" w:styleId="object">
    <w:name w:val="object"/>
    <w:basedOn w:val="Absatz-Standardschriftart"/>
    <w:rsid w:val="00DA4DC4"/>
  </w:style>
  <w:style w:type="paragraph" w:styleId="KeinLeerraum">
    <w:name w:val="No Spacing"/>
    <w:uiPriority w:val="1"/>
    <w:qFormat/>
    <w:rsid w:val="00AA4FD7"/>
    <w:rPr>
      <w:rFonts w:ascii="Calibri" w:hAnsi="Calibri"/>
      <w:sz w:val="22"/>
      <w:szCs w:val="22"/>
    </w:rPr>
  </w:style>
  <w:style w:type="character" w:customStyle="1" w:styleId="apple-converted-space">
    <w:name w:val="apple-converted-space"/>
    <w:basedOn w:val="Absatz-Standardschriftart"/>
    <w:rsid w:val="00F43D94"/>
  </w:style>
  <w:style w:type="character" w:customStyle="1" w:styleId="fotograph">
    <w:name w:val="fotograph"/>
    <w:basedOn w:val="Absatz-Standardschriftart"/>
    <w:rsid w:val="00A834CB"/>
  </w:style>
  <w:style w:type="paragraph" w:customStyle="1" w:styleId="artikelsubheadline">
    <w:name w:val="artikelsubheadline"/>
    <w:basedOn w:val="Standard"/>
    <w:rsid w:val="00A834CB"/>
    <w:pPr>
      <w:spacing w:before="100" w:beforeAutospacing="1" w:after="100" w:afterAutospacing="1"/>
    </w:pPr>
  </w:style>
  <w:style w:type="paragraph" w:customStyle="1" w:styleId="Standard1">
    <w:name w:val="Standard1"/>
    <w:basedOn w:val="Standard"/>
    <w:rsid w:val="0083694D"/>
    <w:pPr>
      <w:spacing w:line="360" w:lineRule="auto"/>
      <w:jc w:val="both"/>
    </w:pPr>
    <w:rPr>
      <w:rFonts w:ascii="Arial" w:eastAsiaTheme="minorHAnsi" w:hAnsi="Arial" w:cs="Arial"/>
      <w:sz w:val="22"/>
      <w:szCs w:val="22"/>
    </w:rPr>
  </w:style>
  <w:style w:type="character" w:customStyle="1" w:styleId="TextZchn">
    <w:name w:val="Text Zchn"/>
    <w:basedOn w:val="Absatz-Standardschriftart"/>
    <w:link w:val="Text"/>
    <w:locked/>
    <w:rsid w:val="005E4B52"/>
    <w:rPr>
      <w:rFonts w:ascii="Myriad Pro" w:hAnsi="Myriad Pro"/>
    </w:rPr>
  </w:style>
  <w:style w:type="paragraph" w:customStyle="1" w:styleId="Text">
    <w:name w:val="Text"/>
    <w:basedOn w:val="Standard"/>
    <w:link w:val="TextZchn"/>
    <w:rsid w:val="005E4B52"/>
    <w:pPr>
      <w:tabs>
        <w:tab w:val="left" w:pos="720"/>
      </w:tabs>
      <w:overflowPunct w:val="0"/>
      <w:autoSpaceDE w:val="0"/>
      <w:autoSpaceDN w:val="0"/>
      <w:adjustRightInd w:val="0"/>
      <w:spacing w:after="120"/>
      <w:jc w:val="both"/>
    </w:pPr>
    <w:rPr>
      <w:rFonts w:ascii="Myriad Pro" w:hAnsi="Myriad Pro"/>
      <w:sz w:val="20"/>
      <w:szCs w:val="20"/>
    </w:rPr>
  </w:style>
  <w:style w:type="character" w:customStyle="1" w:styleId="berschrift3Zchn">
    <w:name w:val="Überschrift 3 Zchn"/>
    <w:basedOn w:val="Absatz-Standardschriftart"/>
    <w:link w:val="berschrift3"/>
    <w:uiPriority w:val="9"/>
    <w:semiHidden/>
    <w:rsid w:val="0044729A"/>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4296">
      <w:bodyDiv w:val="1"/>
      <w:marLeft w:val="0"/>
      <w:marRight w:val="0"/>
      <w:marTop w:val="0"/>
      <w:marBottom w:val="0"/>
      <w:divBdr>
        <w:top w:val="none" w:sz="0" w:space="0" w:color="auto"/>
        <w:left w:val="none" w:sz="0" w:space="0" w:color="auto"/>
        <w:bottom w:val="none" w:sz="0" w:space="0" w:color="auto"/>
        <w:right w:val="none" w:sz="0" w:space="0" w:color="auto"/>
      </w:divBdr>
      <w:divsChild>
        <w:div w:id="430128249">
          <w:marLeft w:val="0"/>
          <w:marRight w:val="0"/>
          <w:marTop w:val="0"/>
          <w:marBottom w:val="0"/>
          <w:divBdr>
            <w:top w:val="none" w:sz="0" w:space="0" w:color="auto"/>
            <w:left w:val="none" w:sz="0" w:space="0" w:color="auto"/>
            <w:bottom w:val="none" w:sz="0" w:space="0" w:color="auto"/>
            <w:right w:val="none" w:sz="0" w:space="0" w:color="auto"/>
          </w:divBdr>
          <w:divsChild>
            <w:div w:id="826703288">
              <w:marLeft w:val="0"/>
              <w:marRight w:val="0"/>
              <w:marTop w:val="0"/>
              <w:marBottom w:val="0"/>
              <w:divBdr>
                <w:top w:val="none" w:sz="0" w:space="0" w:color="auto"/>
                <w:left w:val="none" w:sz="0" w:space="0" w:color="auto"/>
                <w:bottom w:val="none" w:sz="0" w:space="0" w:color="auto"/>
                <w:right w:val="none" w:sz="0" w:space="0" w:color="auto"/>
              </w:divBdr>
              <w:divsChild>
                <w:div w:id="1508445460">
                  <w:marLeft w:val="0"/>
                  <w:marRight w:val="0"/>
                  <w:marTop w:val="0"/>
                  <w:marBottom w:val="0"/>
                  <w:divBdr>
                    <w:top w:val="none" w:sz="0" w:space="0" w:color="auto"/>
                    <w:left w:val="none" w:sz="0" w:space="0" w:color="auto"/>
                    <w:bottom w:val="none" w:sz="0" w:space="0" w:color="auto"/>
                    <w:right w:val="none" w:sz="0" w:space="0" w:color="auto"/>
                  </w:divBdr>
                  <w:divsChild>
                    <w:div w:id="1223103395">
                      <w:marLeft w:val="0"/>
                      <w:marRight w:val="0"/>
                      <w:marTop w:val="0"/>
                      <w:marBottom w:val="0"/>
                      <w:divBdr>
                        <w:top w:val="none" w:sz="0" w:space="0" w:color="auto"/>
                        <w:left w:val="none" w:sz="0" w:space="0" w:color="auto"/>
                        <w:bottom w:val="none" w:sz="0" w:space="0" w:color="auto"/>
                        <w:right w:val="none" w:sz="0" w:space="0" w:color="auto"/>
                      </w:divBdr>
                      <w:divsChild>
                        <w:div w:id="1292710827">
                          <w:marLeft w:val="0"/>
                          <w:marRight w:val="0"/>
                          <w:marTop w:val="0"/>
                          <w:marBottom w:val="0"/>
                          <w:divBdr>
                            <w:top w:val="none" w:sz="0" w:space="0" w:color="auto"/>
                            <w:left w:val="none" w:sz="0" w:space="0" w:color="auto"/>
                            <w:bottom w:val="none" w:sz="0" w:space="0" w:color="auto"/>
                            <w:right w:val="none" w:sz="0" w:space="0" w:color="auto"/>
                          </w:divBdr>
                          <w:divsChild>
                            <w:div w:id="1966038668">
                              <w:marLeft w:val="0"/>
                              <w:marRight w:val="0"/>
                              <w:marTop w:val="0"/>
                              <w:marBottom w:val="0"/>
                              <w:divBdr>
                                <w:top w:val="none" w:sz="0" w:space="0" w:color="auto"/>
                                <w:left w:val="none" w:sz="0" w:space="0" w:color="auto"/>
                                <w:bottom w:val="none" w:sz="0" w:space="0" w:color="auto"/>
                                <w:right w:val="none" w:sz="0" w:space="0" w:color="auto"/>
                              </w:divBdr>
                              <w:divsChild>
                                <w:div w:id="19717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62034">
      <w:bodyDiv w:val="1"/>
      <w:marLeft w:val="262"/>
      <w:marRight w:val="0"/>
      <w:marTop w:val="0"/>
      <w:marBottom w:val="0"/>
      <w:divBdr>
        <w:top w:val="none" w:sz="0" w:space="0" w:color="auto"/>
        <w:left w:val="none" w:sz="0" w:space="0" w:color="auto"/>
        <w:bottom w:val="none" w:sz="0" w:space="0" w:color="auto"/>
        <w:right w:val="none" w:sz="0" w:space="0" w:color="auto"/>
      </w:divBdr>
      <w:divsChild>
        <w:div w:id="1406299928">
          <w:marLeft w:val="0"/>
          <w:marRight w:val="0"/>
          <w:marTop w:val="0"/>
          <w:marBottom w:val="0"/>
          <w:divBdr>
            <w:top w:val="none" w:sz="0" w:space="0" w:color="auto"/>
            <w:left w:val="none" w:sz="0" w:space="0" w:color="auto"/>
            <w:bottom w:val="none" w:sz="0" w:space="0" w:color="auto"/>
            <w:right w:val="none" w:sz="0" w:space="0" w:color="auto"/>
          </w:divBdr>
        </w:div>
      </w:divsChild>
    </w:div>
    <w:div w:id="61879052">
      <w:bodyDiv w:val="1"/>
      <w:marLeft w:val="0"/>
      <w:marRight w:val="0"/>
      <w:marTop w:val="0"/>
      <w:marBottom w:val="0"/>
      <w:divBdr>
        <w:top w:val="none" w:sz="0" w:space="0" w:color="auto"/>
        <w:left w:val="none" w:sz="0" w:space="0" w:color="auto"/>
        <w:bottom w:val="none" w:sz="0" w:space="0" w:color="auto"/>
        <w:right w:val="none" w:sz="0" w:space="0" w:color="auto"/>
      </w:divBdr>
    </w:div>
    <w:div w:id="133915567">
      <w:bodyDiv w:val="1"/>
      <w:marLeft w:val="300"/>
      <w:marRight w:val="0"/>
      <w:marTop w:val="0"/>
      <w:marBottom w:val="0"/>
      <w:divBdr>
        <w:top w:val="none" w:sz="0" w:space="0" w:color="auto"/>
        <w:left w:val="none" w:sz="0" w:space="0" w:color="auto"/>
        <w:bottom w:val="none" w:sz="0" w:space="0" w:color="auto"/>
        <w:right w:val="none" w:sz="0" w:space="0" w:color="auto"/>
      </w:divBdr>
      <w:divsChild>
        <w:div w:id="2121680964">
          <w:marLeft w:val="0"/>
          <w:marRight w:val="0"/>
          <w:marTop w:val="0"/>
          <w:marBottom w:val="0"/>
          <w:divBdr>
            <w:top w:val="none" w:sz="0" w:space="0" w:color="auto"/>
            <w:left w:val="none" w:sz="0" w:space="0" w:color="auto"/>
            <w:bottom w:val="none" w:sz="0" w:space="0" w:color="auto"/>
            <w:right w:val="none" w:sz="0" w:space="0" w:color="auto"/>
          </w:divBdr>
        </w:div>
      </w:divsChild>
    </w:div>
    <w:div w:id="209998865">
      <w:bodyDiv w:val="1"/>
      <w:marLeft w:val="0"/>
      <w:marRight w:val="0"/>
      <w:marTop w:val="0"/>
      <w:marBottom w:val="0"/>
      <w:divBdr>
        <w:top w:val="none" w:sz="0" w:space="0" w:color="auto"/>
        <w:left w:val="none" w:sz="0" w:space="0" w:color="auto"/>
        <w:bottom w:val="none" w:sz="0" w:space="0" w:color="auto"/>
        <w:right w:val="none" w:sz="0" w:space="0" w:color="auto"/>
      </w:divBdr>
    </w:div>
    <w:div w:id="288705701">
      <w:bodyDiv w:val="1"/>
      <w:marLeft w:val="300"/>
      <w:marRight w:val="0"/>
      <w:marTop w:val="0"/>
      <w:marBottom w:val="0"/>
      <w:divBdr>
        <w:top w:val="none" w:sz="0" w:space="0" w:color="auto"/>
        <w:left w:val="none" w:sz="0" w:space="0" w:color="auto"/>
        <w:bottom w:val="none" w:sz="0" w:space="0" w:color="auto"/>
        <w:right w:val="none" w:sz="0" w:space="0" w:color="auto"/>
      </w:divBdr>
      <w:divsChild>
        <w:div w:id="494611743">
          <w:marLeft w:val="0"/>
          <w:marRight w:val="0"/>
          <w:marTop w:val="0"/>
          <w:marBottom w:val="0"/>
          <w:divBdr>
            <w:top w:val="none" w:sz="0" w:space="0" w:color="auto"/>
            <w:left w:val="none" w:sz="0" w:space="0" w:color="auto"/>
            <w:bottom w:val="none" w:sz="0" w:space="0" w:color="auto"/>
            <w:right w:val="none" w:sz="0" w:space="0" w:color="auto"/>
          </w:divBdr>
        </w:div>
      </w:divsChild>
    </w:div>
    <w:div w:id="543180919">
      <w:bodyDiv w:val="1"/>
      <w:marLeft w:val="300"/>
      <w:marRight w:val="0"/>
      <w:marTop w:val="0"/>
      <w:marBottom w:val="0"/>
      <w:divBdr>
        <w:top w:val="none" w:sz="0" w:space="0" w:color="auto"/>
        <w:left w:val="none" w:sz="0" w:space="0" w:color="auto"/>
        <w:bottom w:val="none" w:sz="0" w:space="0" w:color="auto"/>
        <w:right w:val="none" w:sz="0" w:space="0" w:color="auto"/>
      </w:divBdr>
      <w:divsChild>
        <w:div w:id="1209418764">
          <w:marLeft w:val="0"/>
          <w:marRight w:val="0"/>
          <w:marTop w:val="0"/>
          <w:marBottom w:val="0"/>
          <w:divBdr>
            <w:top w:val="none" w:sz="0" w:space="0" w:color="auto"/>
            <w:left w:val="none" w:sz="0" w:space="0" w:color="auto"/>
            <w:bottom w:val="none" w:sz="0" w:space="0" w:color="auto"/>
            <w:right w:val="none" w:sz="0" w:space="0" w:color="auto"/>
          </w:divBdr>
        </w:div>
      </w:divsChild>
    </w:div>
    <w:div w:id="633144274">
      <w:bodyDiv w:val="1"/>
      <w:marLeft w:val="262"/>
      <w:marRight w:val="0"/>
      <w:marTop w:val="0"/>
      <w:marBottom w:val="0"/>
      <w:divBdr>
        <w:top w:val="none" w:sz="0" w:space="0" w:color="auto"/>
        <w:left w:val="none" w:sz="0" w:space="0" w:color="auto"/>
        <w:bottom w:val="none" w:sz="0" w:space="0" w:color="auto"/>
        <w:right w:val="none" w:sz="0" w:space="0" w:color="auto"/>
      </w:divBdr>
      <w:divsChild>
        <w:div w:id="799765643">
          <w:marLeft w:val="0"/>
          <w:marRight w:val="0"/>
          <w:marTop w:val="0"/>
          <w:marBottom w:val="0"/>
          <w:divBdr>
            <w:top w:val="none" w:sz="0" w:space="0" w:color="auto"/>
            <w:left w:val="none" w:sz="0" w:space="0" w:color="auto"/>
            <w:bottom w:val="none" w:sz="0" w:space="0" w:color="auto"/>
            <w:right w:val="none" w:sz="0" w:space="0" w:color="auto"/>
          </w:divBdr>
          <w:divsChild>
            <w:div w:id="13420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9828">
      <w:bodyDiv w:val="1"/>
      <w:marLeft w:val="0"/>
      <w:marRight w:val="0"/>
      <w:marTop w:val="0"/>
      <w:marBottom w:val="0"/>
      <w:divBdr>
        <w:top w:val="none" w:sz="0" w:space="0" w:color="auto"/>
        <w:left w:val="none" w:sz="0" w:space="0" w:color="auto"/>
        <w:bottom w:val="none" w:sz="0" w:space="0" w:color="auto"/>
        <w:right w:val="none" w:sz="0" w:space="0" w:color="auto"/>
      </w:divBdr>
    </w:div>
    <w:div w:id="858084037">
      <w:bodyDiv w:val="1"/>
      <w:marLeft w:val="0"/>
      <w:marRight w:val="0"/>
      <w:marTop w:val="0"/>
      <w:marBottom w:val="0"/>
      <w:divBdr>
        <w:top w:val="none" w:sz="0" w:space="0" w:color="auto"/>
        <w:left w:val="none" w:sz="0" w:space="0" w:color="auto"/>
        <w:bottom w:val="none" w:sz="0" w:space="0" w:color="auto"/>
        <w:right w:val="none" w:sz="0" w:space="0" w:color="auto"/>
      </w:divBdr>
    </w:div>
    <w:div w:id="874542661">
      <w:bodyDiv w:val="1"/>
      <w:marLeft w:val="262"/>
      <w:marRight w:val="0"/>
      <w:marTop w:val="0"/>
      <w:marBottom w:val="0"/>
      <w:divBdr>
        <w:top w:val="none" w:sz="0" w:space="0" w:color="auto"/>
        <w:left w:val="none" w:sz="0" w:space="0" w:color="auto"/>
        <w:bottom w:val="none" w:sz="0" w:space="0" w:color="auto"/>
        <w:right w:val="none" w:sz="0" w:space="0" w:color="auto"/>
      </w:divBdr>
      <w:divsChild>
        <w:div w:id="1606888739">
          <w:marLeft w:val="0"/>
          <w:marRight w:val="0"/>
          <w:marTop w:val="0"/>
          <w:marBottom w:val="0"/>
          <w:divBdr>
            <w:top w:val="none" w:sz="0" w:space="0" w:color="auto"/>
            <w:left w:val="none" w:sz="0" w:space="0" w:color="auto"/>
            <w:bottom w:val="none" w:sz="0" w:space="0" w:color="auto"/>
            <w:right w:val="none" w:sz="0" w:space="0" w:color="auto"/>
          </w:divBdr>
          <w:divsChild>
            <w:div w:id="7715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5588">
      <w:bodyDiv w:val="1"/>
      <w:marLeft w:val="0"/>
      <w:marRight w:val="0"/>
      <w:marTop w:val="0"/>
      <w:marBottom w:val="0"/>
      <w:divBdr>
        <w:top w:val="none" w:sz="0" w:space="0" w:color="auto"/>
        <w:left w:val="none" w:sz="0" w:space="0" w:color="auto"/>
        <w:bottom w:val="none" w:sz="0" w:space="0" w:color="auto"/>
        <w:right w:val="none" w:sz="0" w:space="0" w:color="auto"/>
      </w:divBdr>
    </w:div>
    <w:div w:id="1120996140">
      <w:bodyDiv w:val="1"/>
      <w:marLeft w:val="300"/>
      <w:marRight w:val="0"/>
      <w:marTop w:val="0"/>
      <w:marBottom w:val="0"/>
      <w:divBdr>
        <w:top w:val="none" w:sz="0" w:space="0" w:color="auto"/>
        <w:left w:val="none" w:sz="0" w:space="0" w:color="auto"/>
        <w:bottom w:val="none" w:sz="0" w:space="0" w:color="auto"/>
        <w:right w:val="none" w:sz="0" w:space="0" w:color="auto"/>
      </w:divBdr>
      <w:divsChild>
        <w:div w:id="1868905378">
          <w:marLeft w:val="0"/>
          <w:marRight w:val="0"/>
          <w:marTop w:val="0"/>
          <w:marBottom w:val="0"/>
          <w:divBdr>
            <w:top w:val="none" w:sz="0" w:space="0" w:color="auto"/>
            <w:left w:val="none" w:sz="0" w:space="0" w:color="auto"/>
            <w:bottom w:val="none" w:sz="0" w:space="0" w:color="auto"/>
            <w:right w:val="none" w:sz="0" w:space="0" w:color="auto"/>
          </w:divBdr>
        </w:div>
      </w:divsChild>
    </w:div>
    <w:div w:id="1430740442">
      <w:bodyDiv w:val="1"/>
      <w:marLeft w:val="0"/>
      <w:marRight w:val="0"/>
      <w:marTop w:val="0"/>
      <w:marBottom w:val="0"/>
      <w:divBdr>
        <w:top w:val="none" w:sz="0" w:space="0" w:color="auto"/>
        <w:left w:val="none" w:sz="0" w:space="0" w:color="auto"/>
        <w:bottom w:val="none" w:sz="0" w:space="0" w:color="auto"/>
        <w:right w:val="none" w:sz="0" w:space="0" w:color="auto"/>
      </w:divBdr>
      <w:divsChild>
        <w:div w:id="41637910">
          <w:marLeft w:val="0"/>
          <w:marRight w:val="0"/>
          <w:marTop w:val="0"/>
          <w:marBottom w:val="0"/>
          <w:divBdr>
            <w:top w:val="none" w:sz="0" w:space="0" w:color="auto"/>
            <w:left w:val="none" w:sz="0" w:space="0" w:color="auto"/>
            <w:bottom w:val="none" w:sz="0" w:space="0" w:color="auto"/>
            <w:right w:val="none" w:sz="0" w:space="0" w:color="auto"/>
          </w:divBdr>
          <w:divsChild>
            <w:div w:id="869151377">
              <w:marLeft w:val="0"/>
              <w:marRight w:val="0"/>
              <w:marTop w:val="0"/>
              <w:marBottom w:val="0"/>
              <w:divBdr>
                <w:top w:val="none" w:sz="0" w:space="0" w:color="auto"/>
                <w:left w:val="none" w:sz="0" w:space="0" w:color="auto"/>
                <w:bottom w:val="none" w:sz="0" w:space="0" w:color="auto"/>
                <w:right w:val="none" w:sz="0" w:space="0" w:color="auto"/>
              </w:divBdr>
              <w:divsChild>
                <w:div w:id="37702219">
                  <w:marLeft w:val="0"/>
                  <w:marRight w:val="0"/>
                  <w:marTop w:val="0"/>
                  <w:marBottom w:val="0"/>
                  <w:divBdr>
                    <w:top w:val="none" w:sz="0" w:space="0" w:color="auto"/>
                    <w:left w:val="none" w:sz="0" w:space="0" w:color="auto"/>
                    <w:bottom w:val="none" w:sz="0" w:space="0" w:color="auto"/>
                    <w:right w:val="none" w:sz="0" w:space="0" w:color="auto"/>
                  </w:divBdr>
                  <w:divsChild>
                    <w:div w:id="1259097464">
                      <w:marLeft w:val="0"/>
                      <w:marRight w:val="0"/>
                      <w:marTop w:val="0"/>
                      <w:marBottom w:val="0"/>
                      <w:divBdr>
                        <w:top w:val="none" w:sz="0" w:space="0" w:color="auto"/>
                        <w:left w:val="none" w:sz="0" w:space="0" w:color="auto"/>
                        <w:bottom w:val="none" w:sz="0" w:space="0" w:color="auto"/>
                        <w:right w:val="none" w:sz="0" w:space="0" w:color="auto"/>
                      </w:divBdr>
                      <w:divsChild>
                        <w:div w:id="1996640137">
                          <w:marLeft w:val="0"/>
                          <w:marRight w:val="0"/>
                          <w:marTop w:val="0"/>
                          <w:marBottom w:val="0"/>
                          <w:divBdr>
                            <w:top w:val="none" w:sz="0" w:space="0" w:color="auto"/>
                            <w:left w:val="none" w:sz="0" w:space="0" w:color="auto"/>
                            <w:bottom w:val="none" w:sz="0" w:space="0" w:color="auto"/>
                            <w:right w:val="none" w:sz="0" w:space="0" w:color="auto"/>
                          </w:divBdr>
                          <w:divsChild>
                            <w:div w:id="429860311">
                              <w:marLeft w:val="0"/>
                              <w:marRight w:val="0"/>
                              <w:marTop w:val="0"/>
                              <w:marBottom w:val="0"/>
                              <w:divBdr>
                                <w:top w:val="none" w:sz="0" w:space="0" w:color="auto"/>
                                <w:left w:val="none" w:sz="0" w:space="0" w:color="auto"/>
                                <w:bottom w:val="none" w:sz="0" w:space="0" w:color="auto"/>
                                <w:right w:val="none" w:sz="0" w:space="0" w:color="auto"/>
                              </w:divBdr>
                            </w:div>
                            <w:div w:id="1678536269">
                              <w:marLeft w:val="0"/>
                              <w:marRight w:val="0"/>
                              <w:marTop w:val="0"/>
                              <w:marBottom w:val="0"/>
                              <w:divBdr>
                                <w:top w:val="none" w:sz="0" w:space="0" w:color="auto"/>
                                <w:left w:val="none" w:sz="0" w:space="0" w:color="auto"/>
                                <w:bottom w:val="none" w:sz="0" w:space="0" w:color="auto"/>
                                <w:right w:val="none" w:sz="0" w:space="0" w:color="auto"/>
                              </w:divBdr>
                              <w:divsChild>
                                <w:div w:id="902258309">
                                  <w:marLeft w:val="0"/>
                                  <w:marRight w:val="0"/>
                                  <w:marTop w:val="0"/>
                                  <w:marBottom w:val="0"/>
                                  <w:divBdr>
                                    <w:top w:val="none" w:sz="0" w:space="0" w:color="auto"/>
                                    <w:left w:val="none" w:sz="0" w:space="0" w:color="auto"/>
                                    <w:bottom w:val="none" w:sz="0" w:space="0" w:color="auto"/>
                                    <w:right w:val="none" w:sz="0" w:space="0" w:color="auto"/>
                                  </w:divBdr>
                                  <w:divsChild>
                                    <w:div w:id="494340180">
                                      <w:marLeft w:val="0"/>
                                      <w:marRight w:val="0"/>
                                      <w:marTop w:val="0"/>
                                      <w:marBottom w:val="0"/>
                                      <w:divBdr>
                                        <w:top w:val="none" w:sz="0" w:space="0" w:color="auto"/>
                                        <w:left w:val="none" w:sz="0" w:space="0" w:color="auto"/>
                                        <w:bottom w:val="none" w:sz="0" w:space="0" w:color="auto"/>
                                        <w:right w:val="none" w:sz="0" w:space="0" w:color="auto"/>
                                      </w:divBdr>
                                      <w:divsChild>
                                        <w:div w:id="913974816">
                                          <w:marLeft w:val="0"/>
                                          <w:marRight w:val="0"/>
                                          <w:marTop w:val="0"/>
                                          <w:marBottom w:val="0"/>
                                          <w:divBdr>
                                            <w:top w:val="none" w:sz="0" w:space="0" w:color="auto"/>
                                            <w:left w:val="none" w:sz="0" w:space="0" w:color="auto"/>
                                            <w:bottom w:val="none" w:sz="0" w:space="0" w:color="auto"/>
                                            <w:right w:val="none" w:sz="0" w:space="0" w:color="auto"/>
                                          </w:divBdr>
                                        </w:div>
                                      </w:divsChild>
                                    </w:div>
                                    <w:div w:id="139420310">
                                      <w:marLeft w:val="0"/>
                                      <w:marRight w:val="0"/>
                                      <w:marTop w:val="0"/>
                                      <w:marBottom w:val="0"/>
                                      <w:divBdr>
                                        <w:top w:val="none" w:sz="0" w:space="0" w:color="auto"/>
                                        <w:left w:val="none" w:sz="0" w:space="0" w:color="auto"/>
                                        <w:bottom w:val="none" w:sz="0" w:space="0" w:color="auto"/>
                                        <w:right w:val="none" w:sz="0" w:space="0" w:color="auto"/>
                                      </w:divBdr>
                                    </w:div>
                                  </w:divsChild>
                                </w:div>
                                <w:div w:id="480384958">
                                  <w:marLeft w:val="0"/>
                                  <w:marRight w:val="0"/>
                                  <w:marTop w:val="0"/>
                                  <w:marBottom w:val="0"/>
                                  <w:divBdr>
                                    <w:top w:val="none" w:sz="0" w:space="0" w:color="auto"/>
                                    <w:left w:val="none" w:sz="0" w:space="0" w:color="auto"/>
                                    <w:bottom w:val="none" w:sz="0" w:space="0" w:color="auto"/>
                                    <w:right w:val="none" w:sz="0" w:space="0" w:color="auto"/>
                                  </w:divBdr>
                                </w:div>
                              </w:divsChild>
                            </w:div>
                            <w:div w:id="1753626360">
                              <w:marLeft w:val="0"/>
                              <w:marRight w:val="0"/>
                              <w:marTop w:val="0"/>
                              <w:marBottom w:val="0"/>
                              <w:divBdr>
                                <w:top w:val="none" w:sz="0" w:space="0" w:color="auto"/>
                                <w:left w:val="none" w:sz="0" w:space="0" w:color="auto"/>
                                <w:bottom w:val="none" w:sz="0" w:space="0" w:color="auto"/>
                                <w:right w:val="none" w:sz="0" w:space="0" w:color="auto"/>
                              </w:divBdr>
                              <w:divsChild>
                                <w:div w:id="732040775">
                                  <w:marLeft w:val="0"/>
                                  <w:marRight w:val="0"/>
                                  <w:marTop w:val="0"/>
                                  <w:marBottom w:val="0"/>
                                  <w:divBdr>
                                    <w:top w:val="none" w:sz="0" w:space="0" w:color="auto"/>
                                    <w:left w:val="none" w:sz="0" w:space="0" w:color="auto"/>
                                    <w:bottom w:val="none" w:sz="0" w:space="0" w:color="auto"/>
                                    <w:right w:val="none" w:sz="0" w:space="0" w:color="auto"/>
                                  </w:divBdr>
                                </w:div>
                                <w:div w:id="885410590">
                                  <w:marLeft w:val="0"/>
                                  <w:marRight w:val="0"/>
                                  <w:marTop w:val="0"/>
                                  <w:marBottom w:val="0"/>
                                  <w:divBdr>
                                    <w:top w:val="none" w:sz="0" w:space="0" w:color="auto"/>
                                    <w:left w:val="none" w:sz="0" w:space="0" w:color="auto"/>
                                    <w:bottom w:val="none" w:sz="0" w:space="0" w:color="auto"/>
                                    <w:right w:val="none" w:sz="0" w:space="0" w:color="auto"/>
                                  </w:divBdr>
                                </w:div>
                              </w:divsChild>
                            </w:div>
                            <w:div w:id="149448454">
                              <w:marLeft w:val="0"/>
                              <w:marRight w:val="0"/>
                              <w:marTop w:val="0"/>
                              <w:marBottom w:val="0"/>
                              <w:divBdr>
                                <w:top w:val="none" w:sz="0" w:space="0" w:color="auto"/>
                                <w:left w:val="none" w:sz="0" w:space="0" w:color="auto"/>
                                <w:bottom w:val="none" w:sz="0" w:space="0" w:color="auto"/>
                                <w:right w:val="none" w:sz="0" w:space="0" w:color="auto"/>
                              </w:divBdr>
                              <w:divsChild>
                                <w:div w:id="1888176788">
                                  <w:marLeft w:val="0"/>
                                  <w:marRight w:val="0"/>
                                  <w:marTop w:val="0"/>
                                  <w:marBottom w:val="0"/>
                                  <w:divBdr>
                                    <w:top w:val="none" w:sz="0" w:space="0" w:color="auto"/>
                                    <w:left w:val="none" w:sz="0" w:space="0" w:color="auto"/>
                                    <w:bottom w:val="none" w:sz="0" w:space="0" w:color="auto"/>
                                    <w:right w:val="none" w:sz="0" w:space="0" w:color="auto"/>
                                  </w:divBdr>
                                </w:div>
                                <w:div w:id="1816071449">
                                  <w:marLeft w:val="0"/>
                                  <w:marRight w:val="0"/>
                                  <w:marTop w:val="0"/>
                                  <w:marBottom w:val="0"/>
                                  <w:divBdr>
                                    <w:top w:val="none" w:sz="0" w:space="0" w:color="auto"/>
                                    <w:left w:val="none" w:sz="0" w:space="0" w:color="auto"/>
                                    <w:bottom w:val="none" w:sz="0" w:space="0" w:color="auto"/>
                                    <w:right w:val="none" w:sz="0" w:space="0" w:color="auto"/>
                                  </w:divBdr>
                                </w:div>
                              </w:divsChild>
                            </w:div>
                            <w:div w:id="1177771504">
                              <w:marLeft w:val="0"/>
                              <w:marRight w:val="0"/>
                              <w:marTop w:val="0"/>
                              <w:marBottom w:val="0"/>
                              <w:divBdr>
                                <w:top w:val="none" w:sz="0" w:space="0" w:color="auto"/>
                                <w:left w:val="none" w:sz="0" w:space="0" w:color="auto"/>
                                <w:bottom w:val="none" w:sz="0" w:space="0" w:color="auto"/>
                                <w:right w:val="none" w:sz="0" w:space="0" w:color="auto"/>
                              </w:divBdr>
                              <w:divsChild>
                                <w:div w:id="1714577692">
                                  <w:marLeft w:val="0"/>
                                  <w:marRight w:val="0"/>
                                  <w:marTop w:val="0"/>
                                  <w:marBottom w:val="0"/>
                                  <w:divBdr>
                                    <w:top w:val="none" w:sz="0" w:space="0" w:color="auto"/>
                                    <w:left w:val="none" w:sz="0" w:space="0" w:color="auto"/>
                                    <w:bottom w:val="none" w:sz="0" w:space="0" w:color="auto"/>
                                    <w:right w:val="none" w:sz="0" w:space="0" w:color="auto"/>
                                  </w:divBdr>
                                </w:div>
                                <w:div w:id="442379809">
                                  <w:marLeft w:val="0"/>
                                  <w:marRight w:val="0"/>
                                  <w:marTop w:val="0"/>
                                  <w:marBottom w:val="0"/>
                                  <w:divBdr>
                                    <w:top w:val="none" w:sz="0" w:space="0" w:color="auto"/>
                                    <w:left w:val="none" w:sz="0" w:space="0" w:color="auto"/>
                                    <w:bottom w:val="none" w:sz="0" w:space="0" w:color="auto"/>
                                    <w:right w:val="none" w:sz="0" w:space="0" w:color="auto"/>
                                  </w:divBdr>
                                </w:div>
                              </w:divsChild>
                            </w:div>
                            <w:div w:id="1687053399">
                              <w:marLeft w:val="0"/>
                              <w:marRight w:val="0"/>
                              <w:marTop w:val="0"/>
                              <w:marBottom w:val="0"/>
                              <w:divBdr>
                                <w:top w:val="none" w:sz="0" w:space="0" w:color="auto"/>
                                <w:left w:val="none" w:sz="0" w:space="0" w:color="auto"/>
                                <w:bottom w:val="none" w:sz="0" w:space="0" w:color="auto"/>
                                <w:right w:val="none" w:sz="0" w:space="0" w:color="auto"/>
                              </w:divBdr>
                              <w:divsChild>
                                <w:div w:id="110561108">
                                  <w:marLeft w:val="0"/>
                                  <w:marRight w:val="0"/>
                                  <w:marTop w:val="0"/>
                                  <w:marBottom w:val="0"/>
                                  <w:divBdr>
                                    <w:top w:val="none" w:sz="0" w:space="0" w:color="auto"/>
                                    <w:left w:val="none" w:sz="0" w:space="0" w:color="auto"/>
                                    <w:bottom w:val="none" w:sz="0" w:space="0" w:color="auto"/>
                                    <w:right w:val="none" w:sz="0" w:space="0" w:color="auto"/>
                                  </w:divBdr>
                                  <w:divsChild>
                                    <w:div w:id="1452826090">
                                      <w:marLeft w:val="0"/>
                                      <w:marRight w:val="0"/>
                                      <w:marTop w:val="0"/>
                                      <w:marBottom w:val="0"/>
                                      <w:divBdr>
                                        <w:top w:val="none" w:sz="0" w:space="0" w:color="auto"/>
                                        <w:left w:val="none" w:sz="0" w:space="0" w:color="auto"/>
                                        <w:bottom w:val="none" w:sz="0" w:space="0" w:color="auto"/>
                                        <w:right w:val="none" w:sz="0" w:space="0" w:color="auto"/>
                                      </w:divBdr>
                                      <w:divsChild>
                                        <w:div w:id="1615869802">
                                          <w:marLeft w:val="0"/>
                                          <w:marRight w:val="0"/>
                                          <w:marTop w:val="0"/>
                                          <w:marBottom w:val="0"/>
                                          <w:divBdr>
                                            <w:top w:val="none" w:sz="0" w:space="0" w:color="auto"/>
                                            <w:left w:val="none" w:sz="0" w:space="0" w:color="auto"/>
                                            <w:bottom w:val="none" w:sz="0" w:space="0" w:color="auto"/>
                                            <w:right w:val="none" w:sz="0" w:space="0" w:color="auto"/>
                                          </w:divBdr>
                                          <w:divsChild>
                                            <w:div w:id="1760366445">
                                              <w:marLeft w:val="0"/>
                                              <w:marRight w:val="0"/>
                                              <w:marTop w:val="0"/>
                                              <w:marBottom w:val="0"/>
                                              <w:divBdr>
                                                <w:top w:val="none" w:sz="0" w:space="0" w:color="auto"/>
                                                <w:left w:val="none" w:sz="0" w:space="0" w:color="auto"/>
                                                <w:bottom w:val="none" w:sz="0" w:space="0" w:color="auto"/>
                                                <w:right w:val="none" w:sz="0" w:space="0" w:color="auto"/>
                                              </w:divBdr>
                                            </w:div>
                                          </w:divsChild>
                                        </w:div>
                                        <w:div w:id="17104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6712">
                                  <w:marLeft w:val="0"/>
                                  <w:marRight w:val="0"/>
                                  <w:marTop w:val="0"/>
                                  <w:marBottom w:val="0"/>
                                  <w:divBdr>
                                    <w:top w:val="none" w:sz="0" w:space="0" w:color="auto"/>
                                    <w:left w:val="none" w:sz="0" w:space="0" w:color="auto"/>
                                    <w:bottom w:val="none" w:sz="0" w:space="0" w:color="auto"/>
                                    <w:right w:val="none" w:sz="0" w:space="0" w:color="auto"/>
                                  </w:divBdr>
                                </w:div>
                                <w:div w:id="1248929219">
                                  <w:marLeft w:val="0"/>
                                  <w:marRight w:val="0"/>
                                  <w:marTop w:val="0"/>
                                  <w:marBottom w:val="0"/>
                                  <w:divBdr>
                                    <w:top w:val="none" w:sz="0" w:space="0" w:color="auto"/>
                                    <w:left w:val="none" w:sz="0" w:space="0" w:color="auto"/>
                                    <w:bottom w:val="none" w:sz="0" w:space="0" w:color="auto"/>
                                    <w:right w:val="none" w:sz="0" w:space="0" w:color="auto"/>
                                  </w:divBdr>
                                </w:div>
                                <w:div w:id="11112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122571">
      <w:bodyDiv w:val="1"/>
      <w:marLeft w:val="0"/>
      <w:marRight w:val="0"/>
      <w:marTop w:val="0"/>
      <w:marBottom w:val="0"/>
      <w:divBdr>
        <w:top w:val="none" w:sz="0" w:space="0" w:color="auto"/>
        <w:left w:val="none" w:sz="0" w:space="0" w:color="auto"/>
        <w:bottom w:val="none" w:sz="0" w:space="0" w:color="auto"/>
        <w:right w:val="none" w:sz="0" w:space="0" w:color="auto"/>
      </w:divBdr>
    </w:div>
    <w:div w:id="1493108739">
      <w:bodyDiv w:val="1"/>
      <w:marLeft w:val="262"/>
      <w:marRight w:val="0"/>
      <w:marTop w:val="0"/>
      <w:marBottom w:val="0"/>
      <w:divBdr>
        <w:top w:val="none" w:sz="0" w:space="0" w:color="auto"/>
        <w:left w:val="none" w:sz="0" w:space="0" w:color="auto"/>
        <w:bottom w:val="none" w:sz="0" w:space="0" w:color="auto"/>
        <w:right w:val="none" w:sz="0" w:space="0" w:color="auto"/>
      </w:divBdr>
      <w:divsChild>
        <w:div w:id="1340424195">
          <w:marLeft w:val="0"/>
          <w:marRight w:val="0"/>
          <w:marTop w:val="0"/>
          <w:marBottom w:val="0"/>
          <w:divBdr>
            <w:top w:val="none" w:sz="0" w:space="0" w:color="auto"/>
            <w:left w:val="none" w:sz="0" w:space="0" w:color="auto"/>
            <w:bottom w:val="none" w:sz="0" w:space="0" w:color="auto"/>
            <w:right w:val="none" w:sz="0" w:space="0" w:color="auto"/>
          </w:divBdr>
        </w:div>
      </w:divsChild>
    </w:div>
    <w:div w:id="1522623157">
      <w:bodyDiv w:val="1"/>
      <w:marLeft w:val="0"/>
      <w:marRight w:val="0"/>
      <w:marTop w:val="0"/>
      <w:marBottom w:val="0"/>
      <w:divBdr>
        <w:top w:val="none" w:sz="0" w:space="0" w:color="auto"/>
        <w:left w:val="none" w:sz="0" w:space="0" w:color="auto"/>
        <w:bottom w:val="none" w:sz="0" w:space="0" w:color="auto"/>
        <w:right w:val="none" w:sz="0" w:space="0" w:color="auto"/>
      </w:divBdr>
      <w:divsChild>
        <w:div w:id="379019386">
          <w:marLeft w:val="0"/>
          <w:marRight w:val="0"/>
          <w:marTop w:val="0"/>
          <w:marBottom w:val="0"/>
          <w:divBdr>
            <w:top w:val="none" w:sz="0" w:space="0" w:color="auto"/>
            <w:left w:val="none" w:sz="0" w:space="0" w:color="auto"/>
            <w:bottom w:val="none" w:sz="0" w:space="0" w:color="auto"/>
            <w:right w:val="none" w:sz="0" w:space="0" w:color="auto"/>
          </w:divBdr>
          <w:divsChild>
            <w:div w:id="1233353293">
              <w:marLeft w:val="0"/>
              <w:marRight w:val="0"/>
              <w:marTop w:val="0"/>
              <w:marBottom w:val="0"/>
              <w:divBdr>
                <w:top w:val="none" w:sz="0" w:space="0" w:color="auto"/>
                <w:left w:val="none" w:sz="0" w:space="0" w:color="auto"/>
                <w:bottom w:val="none" w:sz="0" w:space="0" w:color="auto"/>
                <w:right w:val="none" w:sz="0" w:space="0" w:color="auto"/>
              </w:divBdr>
              <w:divsChild>
                <w:div w:id="850677871">
                  <w:marLeft w:val="0"/>
                  <w:marRight w:val="0"/>
                  <w:marTop w:val="0"/>
                  <w:marBottom w:val="0"/>
                  <w:divBdr>
                    <w:top w:val="none" w:sz="0" w:space="0" w:color="auto"/>
                    <w:left w:val="none" w:sz="0" w:space="0" w:color="auto"/>
                    <w:bottom w:val="none" w:sz="0" w:space="0" w:color="auto"/>
                    <w:right w:val="none" w:sz="0" w:space="0" w:color="auto"/>
                  </w:divBdr>
                  <w:divsChild>
                    <w:div w:id="1570841577">
                      <w:marLeft w:val="0"/>
                      <w:marRight w:val="0"/>
                      <w:marTop w:val="0"/>
                      <w:marBottom w:val="0"/>
                      <w:divBdr>
                        <w:top w:val="none" w:sz="0" w:space="0" w:color="auto"/>
                        <w:left w:val="none" w:sz="0" w:space="0" w:color="auto"/>
                        <w:bottom w:val="none" w:sz="0" w:space="0" w:color="auto"/>
                        <w:right w:val="none" w:sz="0" w:space="0" w:color="auto"/>
                      </w:divBdr>
                      <w:divsChild>
                        <w:div w:id="1498762191">
                          <w:marLeft w:val="0"/>
                          <w:marRight w:val="0"/>
                          <w:marTop w:val="0"/>
                          <w:marBottom w:val="0"/>
                          <w:divBdr>
                            <w:top w:val="none" w:sz="0" w:space="0" w:color="auto"/>
                            <w:left w:val="none" w:sz="0" w:space="0" w:color="auto"/>
                            <w:bottom w:val="none" w:sz="0" w:space="0" w:color="auto"/>
                            <w:right w:val="none" w:sz="0" w:space="0" w:color="auto"/>
                          </w:divBdr>
                          <w:divsChild>
                            <w:div w:id="1123235499">
                              <w:marLeft w:val="0"/>
                              <w:marRight w:val="0"/>
                              <w:marTop w:val="0"/>
                              <w:marBottom w:val="0"/>
                              <w:divBdr>
                                <w:top w:val="none" w:sz="0" w:space="0" w:color="auto"/>
                                <w:left w:val="none" w:sz="0" w:space="0" w:color="auto"/>
                                <w:bottom w:val="none" w:sz="0" w:space="0" w:color="auto"/>
                                <w:right w:val="none" w:sz="0" w:space="0" w:color="auto"/>
                              </w:divBdr>
                              <w:divsChild>
                                <w:div w:id="5566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708703">
      <w:bodyDiv w:val="1"/>
      <w:marLeft w:val="0"/>
      <w:marRight w:val="0"/>
      <w:marTop w:val="0"/>
      <w:marBottom w:val="0"/>
      <w:divBdr>
        <w:top w:val="none" w:sz="0" w:space="0" w:color="auto"/>
        <w:left w:val="none" w:sz="0" w:space="0" w:color="auto"/>
        <w:bottom w:val="none" w:sz="0" w:space="0" w:color="auto"/>
        <w:right w:val="none" w:sz="0" w:space="0" w:color="auto"/>
      </w:divBdr>
    </w:div>
    <w:div w:id="1725830317">
      <w:marLeft w:val="0"/>
      <w:marRight w:val="0"/>
      <w:marTop w:val="0"/>
      <w:marBottom w:val="0"/>
      <w:divBdr>
        <w:top w:val="none" w:sz="0" w:space="0" w:color="auto"/>
        <w:left w:val="none" w:sz="0" w:space="0" w:color="auto"/>
        <w:bottom w:val="none" w:sz="0" w:space="0" w:color="auto"/>
        <w:right w:val="none" w:sz="0" w:space="0" w:color="auto"/>
      </w:divBdr>
    </w:div>
    <w:div w:id="1863788412">
      <w:bodyDiv w:val="1"/>
      <w:marLeft w:val="0"/>
      <w:marRight w:val="0"/>
      <w:marTop w:val="0"/>
      <w:marBottom w:val="0"/>
      <w:divBdr>
        <w:top w:val="none" w:sz="0" w:space="0" w:color="auto"/>
        <w:left w:val="none" w:sz="0" w:space="0" w:color="auto"/>
        <w:bottom w:val="none" w:sz="0" w:space="0" w:color="auto"/>
        <w:right w:val="none" w:sz="0" w:space="0" w:color="auto"/>
      </w:divBdr>
    </w:div>
    <w:div w:id="2008434621">
      <w:bodyDiv w:val="1"/>
      <w:marLeft w:val="0"/>
      <w:marRight w:val="0"/>
      <w:marTop w:val="0"/>
      <w:marBottom w:val="0"/>
      <w:divBdr>
        <w:top w:val="none" w:sz="0" w:space="0" w:color="auto"/>
        <w:left w:val="none" w:sz="0" w:space="0" w:color="auto"/>
        <w:bottom w:val="none" w:sz="0" w:space="0" w:color="auto"/>
        <w:right w:val="none" w:sz="0" w:space="0" w:color="auto"/>
      </w:divBdr>
      <w:divsChild>
        <w:div w:id="1033044101">
          <w:marLeft w:val="0"/>
          <w:marRight w:val="0"/>
          <w:marTop w:val="0"/>
          <w:marBottom w:val="0"/>
          <w:divBdr>
            <w:top w:val="none" w:sz="0" w:space="0" w:color="auto"/>
            <w:left w:val="none" w:sz="0" w:space="0" w:color="auto"/>
            <w:bottom w:val="none" w:sz="0" w:space="0" w:color="auto"/>
            <w:right w:val="none" w:sz="0" w:space="0" w:color="auto"/>
          </w:divBdr>
          <w:divsChild>
            <w:div w:id="1999385362">
              <w:marLeft w:val="0"/>
              <w:marRight w:val="0"/>
              <w:marTop w:val="0"/>
              <w:marBottom w:val="0"/>
              <w:divBdr>
                <w:top w:val="none" w:sz="0" w:space="0" w:color="auto"/>
                <w:left w:val="none" w:sz="0" w:space="0" w:color="auto"/>
                <w:bottom w:val="none" w:sz="0" w:space="0" w:color="auto"/>
                <w:right w:val="none" w:sz="0" w:space="0" w:color="auto"/>
              </w:divBdr>
              <w:divsChild>
                <w:div w:id="794175610">
                  <w:marLeft w:val="0"/>
                  <w:marRight w:val="0"/>
                  <w:marTop w:val="0"/>
                  <w:marBottom w:val="0"/>
                  <w:divBdr>
                    <w:top w:val="none" w:sz="0" w:space="0" w:color="auto"/>
                    <w:left w:val="none" w:sz="0" w:space="0" w:color="auto"/>
                    <w:bottom w:val="none" w:sz="0" w:space="0" w:color="auto"/>
                    <w:right w:val="none" w:sz="0" w:space="0" w:color="auto"/>
                  </w:divBdr>
                  <w:divsChild>
                    <w:div w:id="352413945">
                      <w:marLeft w:val="0"/>
                      <w:marRight w:val="0"/>
                      <w:marTop w:val="0"/>
                      <w:marBottom w:val="0"/>
                      <w:divBdr>
                        <w:top w:val="none" w:sz="0" w:space="0" w:color="auto"/>
                        <w:left w:val="none" w:sz="0" w:space="0" w:color="auto"/>
                        <w:bottom w:val="none" w:sz="0" w:space="0" w:color="auto"/>
                        <w:right w:val="none" w:sz="0" w:space="0" w:color="auto"/>
                      </w:divBdr>
                      <w:divsChild>
                        <w:div w:id="285160255">
                          <w:marLeft w:val="0"/>
                          <w:marRight w:val="0"/>
                          <w:marTop w:val="0"/>
                          <w:marBottom w:val="0"/>
                          <w:divBdr>
                            <w:top w:val="none" w:sz="0" w:space="0" w:color="auto"/>
                            <w:left w:val="none" w:sz="0" w:space="0" w:color="auto"/>
                            <w:bottom w:val="none" w:sz="0" w:space="0" w:color="auto"/>
                            <w:right w:val="none" w:sz="0" w:space="0" w:color="auto"/>
                          </w:divBdr>
                          <w:divsChild>
                            <w:div w:id="34088583">
                              <w:marLeft w:val="0"/>
                              <w:marRight w:val="0"/>
                              <w:marTop w:val="0"/>
                              <w:marBottom w:val="0"/>
                              <w:divBdr>
                                <w:top w:val="none" w:sz="0" w:space="0" w:color="auto"/>
                                <w:left w:val="none" w:sz="0" w:space="0" w:color="auto"/>
                                <w:bottom w:val="none" w:sz="0" w:space="0" w:color="auto"/>
                                <w:right w:val="none" w:sz="0" w:space="0" w:color="auto"/>
                              </w:divBdr>
                              <w:divsChild>
                                <w:div w:id="641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05371">
      <w:bodyDiv w:val="1"/>
      <w:marLeft w:val="0"/>
      <w:marRight w:val="0"/>
      <w:marTop w:val="0"/>
      <w:marBottom w:val="0"/>
      <w:divBdr>
        <w:top w:val="none" w:sz="0" w:space="0" w:color="auto"/>
        <w:left w:val="none" w:sz="0" w:space="0" w:color="auto"/>
        <w:bottom w:val="none" w:sz="0" w:space="0" w:color="auto"/>
        <w:right w:val="none" w:sz="0" w:space="0" w:color="auto"/>
      </w:divBdr>
      <w:divsChild>
        <w:div w:id="1922256364">
          <w:marLeft w:val="0"/>
          <w:marRight w:val="0"/>
          <w:marTop w:val="0"/>
          <w:marBottom w:val="0"/>
          <w:divBdr>
            <w:top w:val="none" w:sz="0" w:space="0" w:color="auto"/>
            <w:left w:val="none" w:sz="0" w:space="0" w:color="auto"/>
            <w:bottom w:val="none" w:sz="0" w:space="0" w:color="auto"/>
            <w:right w:val="none" w:sz="0" w:space="0" w:color="auto"/>
          </w:divBdr>
          <w:divsChild>
            <w:div w:id="1583756068">
              <w:marLeft w:val="0"/>
              <w:marRight w:val="0"/>
              <w:marTop w:val="0"/>
              <w:marBottom w:val="0"/>
              <w:divBdr>
                <w:top w:val="none" w:sz="0" w:space="0" w:color="auto"/>
                <w:left w:val="none" w:sz="0" w:space="0" w:color="auto"/>
                <w:bottom w:val="none" w:sz="0" w:space="0" w:color="auto"/>
                <w:right w:val="none" w:sz="0" w:space="0" w:color="auto"/>
              </w:divBdr>
              <w:divsChild>
                <w:div w:id="132335900">
                  <w:marLeft w:val="0"/>
                  <w:marRight w:val="0"/>
                  <w:marTop w:val="0"/>
                  <w:marBottom w:val="0"/>
                  <w:divBdr>
                    <w:top w:val="none" w:sz="0" w:space="0" w:color="auto"/>
                    <w:left w:val="none" w:sz="0" w:space="0" w:color="auto"/>
                    <w:bottom w:val="none" w:sz="0" w:space="0" w:color="auto"/>
                    <w:right w:val="none" w:sz="0" w:space="0" w:color="auto"/>
                  </w:divBdr>
                  <w:divsChild>
                    <w:div w:id="13851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nap-pflanzenschutz.de/gremien/forum-nap/forum-2016/" TargetMode="External"/><Relationship Id="rId26" Type="http://schemas.openxmlformats.org/officeDocument/2006/relationships/hyperlink" Target="http://www.ble.de/NachhaltigeBiomasseherstellung/" TargetMode="External"/><Relationship Id="rId3" Type="http://schemas.openxmlformats.org/officeDocument/2006/relationships/styles" Target="styles.xml"/><Relationship Id="rId21" Type="http://schemas.openxmlformats.org/officeDocument/2006/relationships/hyperlink" Target="http://www.topagrar.com/themen/Glyphosat-1774512.html"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hyperlink" Target="http://www.topagrar.com/themen/Deckungsbeitrag-1774404.html" TargetMode="External"/><Relationship Id="rId2" Type="http://schemas.openxmlformats.org/officeDocument/2006/relationships/numbering" Target="numbering.xml"/><Relationship Id="rId16" Type="http://schemas.openxmlformats.org/officeDocument/2006/relationships/hyperlink" Target="http://www.bmub.bund.de/fileadmin/Daten_BMU/Pools/Broschueren/naturschutzoffensive_2020_broschuere_bf.pdf" TargetMode="External"/><Relationship Id="rId20" Type="http://schemas.openxmlformats.org/officeDocument/2006/relationships/hyperlink" Target="http://www.iva.de/sites/default/files/pdfs/studie_pflanzenschutz_in_deutschland_und_biodiversitaet_hffa_2016.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opagrar.com/themen/Unkrautbekaempfung-1776103.html" TargetMode="External"/><Relationship Id="rId5" Type="http://schemas.openxmlformats.org/officeDocument/2006/relationships/settings" Target="settings.xml"/><Relationship Id="rId15" Type="http://schemas.openxmlformats.org/officeDocument/2006/relationships/hyperlink" Target="http://www.agrarheute.com/newes/hendricks-bleibt-dabei-direktzahlungen-abschaffen" TargetMode="External"/><Relationship Id="rId23" Type="http://schemas.openxmlformats.org/officeDocument/2006/relationships/hyperlink" Target="http://www.topagrar.com/themen/JKI-1775334.html" TargetMode="External"/><Relationship Id="rId28" Type="http://schemas.openxmlformats.org/officeDocument/2006/relationships/fontTable" Target="fontTable.xml"/><Relationship Id="rId10" Type="http://schemas.openxmlformats.org/officeDocument/2006/relationships/hyperlink" Target="mailto:info@agro-service-bb-sa.de"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mailto:info@agro-service-bb-sa.de" TargetMode="External"/><Relationship Id="rId14" Type="http://schemas.openxmlformats.org/officeDocument/2006/relationships/image" Target="media/image1.emf"/><Relationship Id="rId22" Type="http://schemas.openxmlformats.org/officeDocument/2006/relationships/hyperlink" Target="http://www.topagrar.com/themen/Ackerbau-1775842.html" TargetMode="External"/><Relationship Id="rId27"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0D927-5499-400E-86FE-586164146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5512</Words>
  <Characters>34729</Characters>
  <Application>Microsoft Office Word</Application>
  <DocSecurity>0</DocSecurity>
  <Lines>289</Lines>
  <Paragraphs>80</Paragraphs>
  <ScaleCrop>false</ScaleCrop>
  <HeadingPairs>
    <vt:vector size="2" baseType="variant">
      <vt:variant>
        <vt:lpstr>Titel</vt:lpstr>
      </vt:variant>
      <vt:variant>
        <vt:i4>1</vt:i4>
      </vt:variant>
    </vt:vector>
  </HeadingPairs>
  <TitlesOfParts>
    <vt:vector size="1" baseType="lpstr">
      <vt:lpstr>Agro-Service-Verband</vt:lpstr>
    </vt:vector>
  </TitlesOfParts>
  <Company/>
  <LinksUpToDate>false</LinksUpToDate>
  <CharactersWithSpaces>40161</CharactersWithSpaces>
  <SharedDoc>false</SharedDoc>
  <HLinks>
    <vt:vector size="6" baseType="variant">
      <vt:variant>
        <vt:i4>6422551</vt:i4>
      </vt:variant>
      <vt:variant>
        <vt:i4>0</vt:i4>
      </vt:variant>
      <vt:variant>
        <vt:i4>0</vt:i4>
      </vt:variant>
      <vt:variant>
        <vt:i4>5</vt:i4>
      </vt:variant>
      <vt:variant>
        <vt:lpwstr>mailto:info@agro-service-bb-sa.de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Agro-Service-Verband</dc:title>
  <dc:creator>Melchert</dc:creator>
  <cp:lastModifiedBy>Melchert</cp:lastModifiedBy>
  <cp:revision>7</cp:revision>
  <cp:lastPrinted>2014-11-13T09:35:00Z</cp:lastPrinted>
  <dcterms:created xsi:type="dcterms:W3CDTF">2016-02-01T11:03:00Z</dcterms:created>
  <dcterms:modified xsi:type="dcterms:W3CDTF">2016-02-02T08:31:00Z</dcterms:modified>
</cp:coreProperties>
</file>