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EE8" w:rsidRPr="004C6F83" w:rsidRDefault="00E6728B" w:rsidP="004C6F83">
      <w:pPr>
        <w:ind w:left="567" w:right="670" w:firstLine="708"/>
        <w:jc w:val="right"/>
        <w:rPr>
          <w:rFonts w:ascii="Verdana" w:hAnsi="Verdana"/>
          <w:snapToGrid w:val="0"/>
          <w:sz w:val="18"/>
          <w:szCs w:val="18"/>
        </w:rPr>
      </w:pPr>
      <w:r w:rsidRPr="004C6F83">
        <w:rPr>
          <w:rFonts w:ascii="Verdana" w:hAnsi="Verdana"/>
          <w:noProof/>
          <w:sz w:val="36"/>
          <w:szCs w:val="20"/>
        </w:rPr>
        <mc:AlternateContent>
          <mc:Choice Requires="wps">
            <w:drawing>
              <wp:anchor distT="0" distB="0" distL="114300" distR="114300" simplePos="0" relativeHeight="251657728" behindDoc="0" locked="0" layoutInCell="1" allowOverlap="1" wp14:anchorId="0C362012" wp14:editId="1379196D">
                <wp:simplePos x="0" y="0"/>
                <wp:positionH relativeFrom="column">
                  <wp:posOffset>336169</wp:posOffset>
                </wp:positionH>
                <wp:positionV relativeFrom="paragraph">
                  <wp:posOffset>-33629</wp:posOffset>
                </wp:positionV>
                <wp:extent cx="3086100" cy="45720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F3F" w:rsidRPr="004C6F83" w:rsidRDefault="004C1F3F">
                            <w:pPr>
                              <w:rPr>
                                <w:rFonts w:ascii="Verdana" w:hAnsi="Verdana"/>
                                <w:b/>
                                <w:sz w:val="18"/>
                                <w:szCs w:val="18"/>
                              </w:rPr>
                            </w:pPr>
                            <w:r w:rsidRPr="004C6F83">
                              <w:rPr>
                                <w:rFonts w:ascii="Verdana" w:hAnsi="Verdana"/>
                                <w:b/>
                                <w:sz w:val="18"/>
                                <w:szCs w:val="18"/>
                              </w:rPr>
                              <w:t>An die Mitgliedsunternehmen</w:t>
                            </w:r>
                          </w:p>
                          <w:p w:rsidR="004C1F3F" w:rsidRPr="004C6F83" w:rsidRDefault="004C1F3F">
                            <w:pPr>
                              <w:rPr>
                                <w:rFonts w:ascii="Verdana" w:hAnsi="Verdana"/>
                                <w:b/>
                                <w:sz w:val="18"/>
                                <w:szCs w:val="18"/>
                              </w:rPr>
                            </w:pPr>
                            <w:r w:rsidRPr="004C6F83">
                              <w:rPr>
                                <w:rFonts w:ascii="Verdana" w:hAnsi="Verdana"/>
                                <w:b/>
                                <w:sz w:val="18"/>
                                <w:szCs w:val="18"/>
                              </w:rPr>
                              <w:t>und Fördermitglieder!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6.45pt;margin-top:-2.65pt;width:24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R4gg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" stroked="f">
                <v:textbox>
                  <w:txbxContent>
                    <w:p w:rsidR="004C1F3F" w:rsidRPr="004C6F83" w:rsidRDefault="004C1F3F">
                      <w:pPr>
                        <w:rPr>
                          <w:rFonts w:ascii="Verdana" w:hAnsi="Verdana"/>
                          <w:b/>
                          <w:sz w:val="18"/>
                          <w:szCs w:val="18"/>
                        </w:rPr>
                      </w:pPr>
                      <w:r w:rsidRPr="004C6F83">
                        <w:rPr>
                          <w:rFonts w:ascii="Verdana" w:hAnsi="Verdana"/>
                          <w:b/>
                          <w:sz w:val="18"/>
                          <w:szCs w:val="18"/>
                        </w:rPr>
                        <w:t>An die Mitgliedsunternehmen</w:t>
                      </w:r>
                    </w:p>
                    <w:p w:rsidR="004C1F3F" w:rsidRPr="004C6F83" w:rsidRDefault="004C1F3F">
                      <w:pPr>
                        <w:rPr>
                          <w:rFonts w:ascii="Verdana" w:hAnsi="Verdana"/>
                          <w:b/>
                          <w:sz w:val="18"/>
                          <w:szCs w:val="18"/>
                        </w:rPr>
                      </w:pPr>
                      <w:r w:rsidRPr="004C6F83">
                        <w:rPr>
                          <w:rFonts w:ascii="Verdana" w:hAnsi="Verdana"/>
                          <w:b/>
                          <w:sz w:val="18"/>
                          <w:szCs w:val="18"/>
                        </w:rPr>
                        <w:t>und Fördermitglieder!</w:t>
                      </w:r>
                    </w:p>
                  </w:txbxContent>
                </v:textbox>
              </v:shape>
            </w:pict>
          </mc:Fallback>
        </mc:AlternateContent>
      </w:r>
      <w:r w:rsidR="00F9454B" w:rsidRPr="004C6F83">
        <w:rPr>
          <w:rFonts w:ascii="Verdana" w:hAnsi="Verdana"/>
          <w:snapToGrid w:val="0"/>
          <w:sz w:val="18"/>
          <w:szCs w:val="18"/>
        </w:rPr>
        <w:t>Altlandsberg</w:t>
      </w:r>
      <w:r w:rsidR="00890156" w:rsidRPr="004C6F83">
        <w:rPr>
          <w:rFonts w:ascii="Verdana" w:hAnsi="Verdana"/>
          <w:snapToGrid w:val="0"/>
          <w:sz w:val="18"/>
          <w:szCs w:val="18"/>
        </w:rPr>
        <w:t xml:space="preserve">, </w:t>
      </w:r>
      <w:r w:rsidR="007C4333">
        <w:rPr>
          <w:rFonts w:ascii="Verdana" w:hAnsi="Verdana"/>
          <w:snapToGrid w:val="0"/>
          <w:sz w:val="18"/>
          <w:szCs w:val="18"/>
        </w:rPr>
        <w:t>20. April</w:t>
      </w:r>
      <w:r w:rsidR="00BA2AB1" w:rsidRPr="004C6F83">
        <w:rPr>
          <w:rFonts w:ascii="Verdana" w:hAnsi="Verdana"/>
          <w:snapToGrid w:val="0"/>
          <w:sz w:val="18"/>
          <w:szCs w:val="18"/>
        </w:rPr>
        <w:t xml:space="preserve"> 2016</w:t>
      </w:r>
    </w:p>
    <w:p w:rsidR="00FD015C" w:rsidRDefault="00FD015C" w:rsidP="00E6728B">
      <w:pPr>
        <w:ind w:left="567"/>
        <w:jc w:val="right"/>
        <w:rPr>
          <w:rFonts w:ascii="Century Gothic" w:hAnsi="Century Gothic"/>
          <w:snapToGrid w:val="0"/>
          <w:sz w:val="18"/>
          <w:szCs w:val="18"/>
        </w:rPr>
      </w:pPr>
    </w:p>
    <w:p w:rsidR="00FD015C" w:rsidRDefault="00FD015C" w:rsidP="00E6728B">
      <w:pPr>
        <w:ind w:left="567"/>
        <w:jc w:val="right"/>
        <w:rPr>
          <w:rFonts w:ascii="Century Gothic" w:hAnsi="Century Gothic"/>
          <w:snapToGrid w:val="0"/>
          <w:sz w:val="18"/>
          <w:szCs w:val="18"/>
        </w:rPr>
      </w:pPr>
    </w:p>
    <w:p w:rsidR="00FD015C" w:rsidRDefault="00FD015C" w:rsidP="00C33F45">
      <w:pPr>
        <w:rPr>
          <w:rFonts w:ascii="Century Gothic" w:hAnsi="Century Gothic"/>
          <w:snapToGrid w:val="0"/>
          <w:sz w:val="18"/>
          <w:szCs w:val="18"/>
        </w:rPr>
      </w:pPr>
    </w:p>
    <w:p w:rsidR="009F0BBF" w:rsidRDefault="009F0BBF" w:rsidP="00E6728B">
      <w:pPr>
        <w:ind w:left="567"/>
        <w:rPr>
          <w:rFonts w:ascii="Century Gothic" w:hAnsi="Century Gothic"/>
          <w:snapToGrid w:val="0"/>
          <w:sz w:val="18"/>
          <w:szCs w:val="18"/>
        </w:rPr>
      </w:pPr>
    </w:p>
    <w:p w:rsidR="009F0BBF" w:rsidRPr="009B5B3D" w:rsidRDefault="009F0BBF" w:rsidP="00E6728B">
      <w:pPr>
        <w:ind w:left="567"/>
        <w:jc w:val="right"/>
        <w:rPr>
          <w:rFonts w:ascii="Century Gothic" w:hAnsi="Century Gothic"/>
          <w:snapToGrid w:val="0"/>
          <w:sz w:val="18"/>
          <w:szCs w:val="18"/>
        </w:rPr>
      </w:pPr>
    </w:p>
    <w:p w:rsidR="009361CA" w:rsidRPr="00701F5A" w:rsidRDefault="009361CA" w:rsidP="00C33F45">
      <w:pPr>
        <w:ind w:left="567"/>
        <w:jc w:val="center"/>
        <w:rPr>
          <w:rFonts w:ascii="Arial Black" w:hAnsi="Arial Black"/>
          <w:b/>
          <w:color w:val="104815"/>
          <w:sz w:val="44"/>
          <w:szCs w:val="44"/>
          <w:u w:val="single"/>
        </w:rPr>
      </w:pPr>
      <w:r w:rsidRPr="00701F5A">
        <w:rPr>
          <w:rFonts w:ascii="Arial Black" w:hAnsi="Arial Black"/>
          <w:b/>
          <w:color w:val="104815"/>
          <w:sz w:val="44"/>
          <w:szCs w:val="44"/>
          <w:u w:val="single"/>
        </w:rPr>
        <w:t>Mitglieder</w:t>
      </w:r>
      <w:r w:rsidR="007F7169" w:rsidRPr="00701F5A">
        <w:rPr>
          <w:rFonts w:ascii="Arial Black" w:hAnsi="Arial Black"/>
          <w:b/>
          <w:color w:val="104815"/>
          <w:sz w:val="44"/>
          <w:szCs w:val="44"/>
          <w:u w:val="single"/>
        </w:rPr>
        <w:t>-I</w:t>
      </w:r>
      <w:r w:rsidRPr="00701F5A">
        <w:rPr>
          <w:rFonts w:ascii="Arial Black" w:hAnsi="Arial Black"/>
          <w:b/>
          <w:color w:val="104815"/>
          <w:sz w:val="44"/>
          <w:szCs w:val="44"/>
          <w:u w:val="single"/>
        </w:rPr>
        <w:t xml:space="preserve">nfo </w:t>
      </w:r>
      <w:r w:rsidR="007C4333">
        <w:rPr>
          <w:rFonts w:ascii="Arial Black" w:hAnsi="Arial Black"/>
          <w:b/>
          <w:color w:val="104815"/>
          <w:sz w:val="44"/>
          <w:szCs w:val="44"/>
          <w:u w:val="single"/>
        </w:rPr>
        <w:t>04</w:t>
      </w:r>
      <w:r w:rsidR="007F7169" w:rsidRPr="00701F5A">
        <w:rPr>
          <w:rFonts w:ascii="Arial Black" w:hAnsi="Arial Black"/>
          <w:b/>
          <w:color w:val="104815"/>
          <w:sz w:val="44"/>
          <w:szCs w:val="44"/>
          <w:u w:val="single"/>
        </w:rPr>
        <w:t>/</w:t>
      </w:r>
      <w:r w:rsidR="00BA2AB1" w:rsidRPr="00701F5A">
        <w:rPr>
          <w:rFonts w:ascii="Arial Black" w:hAnsi="Arial Black"/>
          <w:b/>
          <w:color w:val="104815"/>
          <w:sz w:val="44"/>
          <w:szCs w:val="44"/>
          <w:u w:val="single"/>
        </w:rPr>
        <w:t>2016</w:t>
      </w:r>
    </w:p>
    <w:p w:rsidR="00A32572" w:rsidRPr="00701F5A" w:rsidRDefault="00A32572" w:rsidP="006A4D16">
      <w:pPr>
        <w:rPr>
          <w:rFonts w:ascii="Arial" w:hAnsi="Arial"/>
          <w:snapToGrid w:val="0"/>
          <w:color w:val="323E1A"/>
          <w:sz w:val="36"/>
          <w:szCs w:val="20"/>
        </w:rPr>
      </w:pPr>
    </w:p>
    <w:p w:rsidR="00EF6B79" w:rsidRPr="00C33F45" w:rsidRDefault="00EF6B79" w:rsidP="006A4D16">
      <w:pPr>
        <w:ind w:right="227"/>
        <w:jc w:val="both"/>
        <w:rPr>
          <w:rFonts w:ascii="Verdana" w:hAnsi="Verdana"/>
          <w:sz w:val="20"/>
          <w:szCs w:val="20"/>
        </w:rPr>
      </w:pPr>
    </w:p>
    <w:p w:rsidR="00EF6B79" w:rsidRPr="00C33F45" w:rsidRDefault="00EF6B79" w:rsidP="006A4D16">
      <w:pPr>
        <w:ind w:right="227"/>
        <w:jc w:val="both"/>
        <w:rPr>
          <w:rFonts w:ascii="Verdana" w:hAnsi="Verdana"/>
          <w:sz w:val="20"/>
          <w:szCs w:val="20"/>
        </w:rPr>
        <w:sectPr w:rsidR="00EF6B79" w:rsidRPr="00C33F45" w:rsidSect="0002451E">
          <w:headerReference w:type="even" r:id="rId9"/>
          <w:headerReference w:type="default" r:id="rId10"/>
          <w:footerReference w:type="default" r:id="rId11"/>
          <w:headerReference w:type="first" r:id="rId12"/>
          <w:footerReference w:type="first" r:id="rId13"/>
          <w:pgSz w:w="11906" w:h="16838" w:code="9"/>
          <w:pgMar w:top="851" w:right="746" w:bottom="851" w:left="851" w:header="709" w:footer="709" w:gutter="0"/>
          <w:cols w:space="708"/>
          <w:titlePg/>
          <w:docGrid w:linePitch="360"/>
        </w:sectPr>
      </w:pPr>
    </w:p>
    <w:p w:rsidR="006C3A49" w:rsidRPr="00C33F45" w:rsidRDefault="003078F4" w:rsidP="006A4D16">
      <w:pPr>
        <w:ind w:right="227"/>
        <w:jc w:val="both"/>
        <w:rPr>
          <w:rFonts w:ascii="Verdana" w:hAnsi="Verdana"/>
          <w:sz w:val="20"/>
          <w:szCs w:val="20"/>
        </w:rPr>
      </w:pPr>
      <w:r w:rsidRPr="00C33F45">
        <w:rPr>
          <w:rFonts w:ascii="Verdana" w:hAnsi="Verdana"/>
          <w:sz w:val="20"/>
          <w:szCs w:val="20"/>
        </w:rPr>
        <w:lastRenderedPageBreak/>
        <w:t>Sehr geehrte Verbandsmitglieder</w:t>
      </w:r>
      <w:r w:rsidR="00207114" w:rsidRPr="00C33F45">
        <w:rPr>
          <w:rFonts w:ascii="Verdana" w:hAnsi="Verdana"/>
          <w:sz w:val="20"/>
          <w:szCs w:val="20"/>
        </w:rPr>
        <w:t>,</w:t>
      </w:r>
    </w:p>
    <w:p w:rsidR="00207114" w:rsidRPr="00C33F45" w:rsidRDefault="00207114" w:rsidP="006A4D16">
      <w:pPr>
        <w:widowControl w:val="0"/>
        <w:ind w:right="227"/>
        <w:jc w:val="both"/>
        <w:rPr>
          <w:rFonts w:ascii="Verdana" w:hAnsi="Verdana"/>
          <w:sz w:val="20"/>
          <w:szCs w:val="20"/>
        </w:rPr>
      </w:pPr>
    </w:p>
    <w:p w:rsidR="0027738A" w:rsidRPr="00C33F45" w:rsidRDefault="00552B99" w:rsidP="000C3FEE">
      <w:pPr>
        <w:tabs>
          <w:tab w:val="left" w:pos="4820"/>
        </w:tabs>
        <w:ind w:right="89"/>
        <w:jc w:val="both"/>
        <w:rPr>
          <w:rFonts w:ascii="Verdana" w:hAnsi="Verdana"/>
          <w:sz w:val="20"/>
          <w:szCs w:val="20"/>
        </w:rPr>
      </w:pPr>
      <w:r>
        <w:rPr>
          <w:rFonts w:ascii="Verdana" w:hAnsi="Verdana"/>
          <w:sz w:val="20"/>
          <w:szCs w:val="20"/>
        </w:rPr>
        <w:t>im Rahmen unseres periodischen Rundschreibendienstes möchten wir Ihnen die nachfolgenden Informationen zur</w:t>
      </w:r>
      <w:r w:rsidR="00C57F23">
        <w:rPr>
          <w:rFonts w:ascii="Verdana" w:hAnsi="Verdana"/>
          <w:sz w:val="20"/>
          <w:szCs w:val="20"/>
        </w:rPr>
        <w:t xml:space="preserve"> Verbandsarbeit sowie zu ausgewählten fachlichen Sachverhalten zur Verfügung stellen.</w:t>
      </w:r>
    </w:p>
    <w:p w:rsidR="00462256" w:rsidRPr="00C33F45" w:rsidRDefault="00462256" w:rsidP="009361CA">
      <w:pPr>
        <w:ind w:right="227"/>
        <w:jc w:val="both"/>
        <w:rPr>
          <w:rFonts w:ascii="Verdana" w:hAnsi="Verdana" w:cs="Arial"/>
          <w:sz w:val="20"/>
          <w:szCs w:val="20"/>
        </w:rPr>
      </w:pPr>
    </w:p>
    <w:p w:rsidR="00E0216C" w:rsidRPr="00C33F45" w:rsidRDefault="00E0216C" w:rsidP="006A4D16">
      <w:pPr>
        <w:ind w:right="227"/>
        <w:jc w:val="both"/>
        <w:rPr>
          <w:rFonts w:ascii="Verdana" w:hAnsi="Verdana" w:cs="Arial"/>
          <w:sz w:val="20"/>
          <w:szCs w:val="20"/>
        </w:rPr>
      </w:pPr>
    </w:p>
    <w:p w:rsidR="00453CDD" w:rsidRPr="006F535C" w:rsidRDefault="008E5B4D" w:rsidP="00C64784">
      <w:pPr>
        <w:ind w:right="120"/>
        <w:jc w:val="both"/>
        <w:rPr>
          <w:rFonts w:ascii="Verdana" w:hAnsi="Verdana" w:cs="Arial"/>
          <w:b/>
          <w:color w:val="104815"/>
          <w:sz w:val="28"/>
          <w:szCs w:val="28"/>
          <w:u w:val="single"/>
        </w:rPr>
      </w:pPr>
      <w:r w:rsidRPr="006F535C">
        <w:rPr>
          <w:rFonts w:ascii="Verdana" w:hAnsi="Verdana" w:cs="Arial"/>
          <w:b/>
          <w:color w:val="104815"/>
          <w:sz w:val="28"/>
          <w:szCs w:val="28"/>
          <w:u w:val="single"/>
        </w:rPr>
        <w:t>1</w:t>
      </w:r>
      <w:r w:rsidR="00453CDD" w:rsidRPr="006F535C">
        <w:rPr>
          <w:rFonts w:ascii="Verdana" w:hAnsi="Verdana" w:cs="Arial"/>
          <w:b/>
          <w:color w:val="104815"/>
          <w:sz w:val="28"/>
          <w:szCs w:val="28"/>
          <w:u w:val="single"/>
        </w:rPr>
        <w:t xml:space="preserve">. </w:t>
      </w:r>
      <w:r w:rsidR="00CA025E" w:rsidRPr="006F535C">
        <w:rPr>
          <w:rFonts w:ascii="Verdana" w:hAnsi="Verdana" w:cs="Arial"/>
          <w:b/>
          <w:color w:val="104815"/>
          <w:sz w:val="28"/>
          <w:szCs w:val="28"/>
          <w:u w:val="single"/>
        </w:rPr>
        <w:t>Verbandsinterna</w:t>
      </w:r>
    </w:p>
    <w:p w:rsidR="0027738A" w:rsidRPr="006F535C" w:rsidRDefault="008E5B4D" w:rsidP="00CA025E">
      <w:pPr>
        <w:ind w:right="72"/>
        <w:jc w:val="both"/>
        <w:rPr>
          <w:rFonts w:ascii="Verdana" w:hAnsi="Verdana" w:cs="Arial"/>
          <w:b/>
          <w:color w:val="104815"/>
          <w:sz w:val="22"/>
          <w:szCs w:val="22"/>
        </w:rPr>
      </w:pPr>
      <w:r w:rsidRPr="006F535C">
        <w:rPr>
          <w:rFonts w:ascii="Verdana" w:hAnsi="Verdana" w:cs="Arial"/>
          <w:b/>
          <w:color w:val="104815"/>
          <w:sz w:val="22"/>
          <w:szCs w:val="22"/>
        </w:rPr>
        <w:t>1</w:t>
      </w:r>
      <w:r w:rsidR="001209BA" w:rsidRPr="006F535C">
        <w:rPr>
          <w:rFonts w:ascii="Verdana" w:hAnsi="Verdana" w:cs="Arial"/>
          <w:b/>
          <w:color w:val="104815"/>
          <w:sz w:val="22"/>
          <w:szCs w:val="22"/>
        </w:rPr>
        <w:t>.1</w:t>
      </w:r>
      <w:r w:rsidR="00CB61E9" w:rsidRPr="006F535C">
        <w:rPr>
          <w:rFonts w:ascii="Verdana" w:hAnsi="Verdana" w:cs="Arial"/>
          <w:b/>
          <w:color w:val="104815"/>
          <w:sz w:val="22"/>
          <w:szCs w:val="22"/>
        </w:rPr>
        <w:t xml:space="preserve">. </w:t>
      </w:r>
      <w:r w:rsidR="00CA025E" w:rsidRPr="006F535C">
        <w:rPr>
          <w:rFonts w:ascii="Verdana" w:hAnsi="Verdana" w:cs="Arial"/>
          <w:b/>
          <w:color w:val="104815"/>
          <w:sz w:val="22"/>
          <w:szCs w:val="22"/>
        </w:rPr>
        <w:t xml:space="preserve">  </w:t>
      </w:r>
      <w:r w:rsidR="00552B99">
        <w:rPr>
          <w:rFonts w:ascii="Verdana" w:hAnsi="Verdana" w:cs="Arial"/>
          <w:b/>
          <w:color w:val="104815"/>
          <w:sz w:val="22"/>
          <w:szCs w:val="22"/>
        </w:rPr>
        <w:t>Fachausschuss Düngung/Pflanzenschutz am 6./7. April 2016 in Rostock</w:t>
      </w:r>
    </w:p>
    <w:p w:rsidR="00B30A2D" w:rsidRDefault="00552B99" w:rsidP="00B30A2D">
      <w:pPr>
        <w:widowControl w:val="0"/>
        <w:autoSpaceDE w:val="0"/>
        <w:autoSpaceDN w:val="0"/>
        <w:ind w:right="90"/>
        <w:jc w:val="both"/>
        <w:rPr>
          <w:rFonts w:ascii="Verdana" w:hAnsi="Verdana" w:cs="Century Gothic"/>
          <w:bCs/>
          <w:snapToGrid w:val="0"/>
          <w:sz w:val="20"/>
          <w:szCs w:val="20"/>
        </w:rPr>
      </w:pPr>
      <w:r>
        <w:rPr>
          <w:rFonts w:ascii="Verdana" w:hAnsi="Verdana" w:cs="Century Gothic"/>
          <w:bCs/>
          <w:snapToGrid w:val="0"/>
          <w:sz w:val="20"/>
          <w:szCs w:val="20"/>
        </w:rPr>
        <w:t>Zu seiner Frühjahrstagung trat der gemeinsame Fachausschuss Düngung/Pflanzenschutz am 6./7. April 2016 in Rostock zusammen. Auf Einladung unseres Fördermitglieds YARA GmbH &amp; Co. KG wurde dessen Düngemittelwerk in Rostock-Poppendorf besucht.</w:t>
      </w:r>
    </w:p>
    <w:p w:rsidR="00552B99" w:rsidRDefault="009624A9" w:rsidP="00B30A2D">
      <w:pPr>
        <w:widowControl w:val="0"/>
        <w:autoSpaceDE w:val="0"/>
        <w:autoSpaceDN w:val="0"/>
        <w:ind w:right="90"/>
        <w:jc w:val="both"/>
        <w:rPr>
          <w:rFonts w:ascii="Verdana" w:hAnsi="Verdana" w:cs="Century Gothic"/>
          <w:bCs/>
          <w:snapToGrid w:val="0"/>
          <w:sz w:val="20"/>
          <w:szCs w:val="20"/>
        </w:rPr>
      </w:pPr>
      <w:r>
        <w:rPr>
          <w:rFonts w:ascii="Verdana" w:hAnsi="Verdana" w:cs="Century Gothic"/>
          <w:bCs/>
          <w:snapToGrid w:val="0"/>
          <w:sz w:val="20"/>
          <w:szCs w:val="20"/>
        </w:rPr>
        <w:t>Nach einer V</w:t>
      </w:r>
      <w:r w:rsidR="00552B99">
        <w:rPr>
          <w:rFonts w:ascii="Verdana" w:hAnsi="Verdana" w:cs="Century Gothic"/>
          <w:bCs/>
          <w:snapToGrid w:val="0"/>
          <w:sz w:val="20"/>
          <w:szCs w:val="20"/>
        </w:rPr>
        <w:t>orstellung des Produktionsstandortes wurde das Werk besichtigt. Fachkundige E</w:t>
      </w:r>
      <w:r w:rsidR="007A7DEF">
        <w:rPr>
          <w:rFonts w:ascii="Verdana" w:hAnsi="Verdana" w:cs="Century Gothic"/>
          <w:bCs/>
          <w:snapToGrid w:val="0"/>
          <w:sz w:val="20"/>
          <w:szCs w:val="20"/>
        </w:rPr>
        <w:t>rklärungen erfolgten durch de</w:t>
      </w:r>
      <w:r w:rsidR="00552B99">
        <w:rPr>
          <w:rFonts w:ascii="Verdana" w:hAnsi="Verdana" w:cs="Century Gothic"/>
          <w:bCs/>
          <w:snapToGrid w:val="0"/>
          <w:sz w:val="20"/>
          <w:szCs w:val="20"/>
        </w:rPr>
        <w:t>n Produ</w:t>
      </w:r>
      <w:r>
        <w:rPr>
          <w:rFonts w:ascii="Verdana" w:hAnsi="Verdana" w:cs="Century Gothic"/>
          <w:bCs/>
          <w:snapToGrid w:val="0"/>
          <w:sz w:val="20"/>
          <w:szCs w:val="20"/>
        </w:rPr>
        <w:t>ktionsleiter der D</w:t>
      </w:r>
      <w:r w:rsidR="00552B99">
        <w:rPr>
          <w:rFonts w:ascii="Verdana" w:hAnsi="Verdana" w:cs="Century Gothic"/>
          <w:bCs/>
          <w:snapToGrid w:val="0"/>
          <w:sz w:val="20"/>
          <w:szCs w:val="20"/>
        </w:rPr>
        <w:t xml:space="preserve">üngemittelfabrik. </w:t>
      </w:r>
    </w:p>
    <w:p w:rsidR="00552B99" w:rsidRDefault="00552B99" w:rsidP="00B30A2D">
      <w:pPr>
        <w:widowControl w:val="0"/>
        <w:autoSpaceDE w:val="0"/>
        <w:autoSpaceDN w:val="0"/>
        <w:ind w:right="90"/>
        <w:jc w:val="both"/>
        <w:rPr>
          <w:rFonts w:ascii="Verdana" w:hAnsi="Verdana" w:cs="Century Gothic"/>
          <w:bCs/>
          <w:snapToGrid w:val="0"/>
          <w:sz w:val="20"/>
          <w:szCs w:val="20"/>
        </w:rPr>
      </w:pPr>
      <w:r>
        <w:rPr>
          <w:rFonts w:ascii="Verdana" w:hAnsi="Verdana" w:cs="Century Gothic"/>
          <w:bCs/>
          <w:snapToGrid w:val="0"/>
          <w:sz w:val="20"/>
          <w:szCs w:val="20"/>
        </w:rPr>
        <w:t xml:space="preserve">Daran anschließend berichteten </w:t>
      </w:r>
      <w:r w:rsidRPr="004C1F3F">
        <w:rPr>
          <w:rFonts w:ascii="Verdana" w:hAnsi="Verdana" w:cs="Century Gothic"/>
          <w:b/>
          <w:bCs/>
          <w:snapToGrid w:val="0"/>
          <w:sz w:val="20"/>
          <w:szCs w:val="20"/>
        </w:rPr>
        <w:t xml:space="preserve">Herr </w:t>
      </w:r>
      <w:r w:rsidR="009624A9" w:rsidRPr="004C1F3F">
        <w:rPr>
          <w:rFonts w:ascii="Verdana" w:hAnsi="Verdana" w:cs="Century Gothic"/>
          <w:b/>
          <w:bCs/>
          <w:snapToGrid w:val="0"/>
          <w:sz w:val="20"/>
          <w:szCs w:val="20"/>
        </w:rPr>
        <w:t>Hoppe</w:t>
      </w:r>
      <w:r w:rsidR="009624A9">
        <w:rPr>
          <w:rFonts w:ascii="Verdana" w:hAnsi="Verdana" w:cs="Century Gothic"/>
          <w:bCs/>
          <w:snapToGrid w:val="0"/>
          <w:sz w:val="20"/>
          <w:szCs w:val="20"/>
        </w:rPr>
        <w:t xml:space="preserve"> und </w:t>
      </w:r>
      <w:r w:rsidR="009624A9" w:rsidRPr="004C1F3F">
        <w:rPr>
          <w:rFonts w:ascii="Verdana" w:hAnsi="Verdana" w:cs="Century Gothic"/>
          <w:b/>
          <w:bCs/>
          <w:snapToGrid w:val="0"/>
          <w:sz w:val="20"/>
          <w:szCs w:val="20"/>
        </w:rPr>
        <w:t>Frau Han</w:t>
      </w:r>
      <w:r w:rsidRPr="004C1F3F">
        <w:rPr>
          <w:rFonts w:ascii="Verdana" w:hAnsi="Verdana" w:cs="Century Gothic"/>
          <w:b/>
          <w:bCs/>
          <w:snapToGrid w:val="0"/>
          <w:sz w:val="20"/>
          <w:szCs w:val="20"/>
        </w:rPr>
        <w:t>sen</w:t>
      </w:r>
      <w:r>
        <w:rPr>
          <w:rFonts w:ascii="Verdana" w:hAnsi="Verdana" w:cs="Century Gothic"/>
          <w:bCs/>
          <w:snapToGrid w:val="0"/>
          <w:sz w:val="20"/>
          <w:szCs w:val="20"/>
        </w:rPr>
        <w:t xml:space="preserve"> von der Fachberatung „Wasserrahmenrichtlinie und Landwirtschaft“ innerhalb der LMS Agrarberatung GmbH Rostock über die Umsetzung sowie Probleme der Wasserrahmenrichtlinie (WRRL) und der Nitratrichtlinie im Land Mecklenburg-Vorpommern.</w:t>
      </w:r>
    </w:p>
    <w:p w:rsidR="00552B99" w:rsidRDefault="00552B99" w:rsidP="00B30A2D">
      <w:pPr>
        <w:widowControl w:val="0"/>
        <w:autoSpaceDE w:val="0"/>
        <w:autoSpaceDN w:val="0"/>
        <w:ind w:right="90"/>
        <w:jc w:val="both"/>
        <w:rPr>
          <w:rFonts w:ascii="Verdana" w:hAnsi="Verdana" w:cs="Century Gothic"/>
          <w:bCs/>
          <w:snapToGrid w:val="0"/>
          <w:sz w:val="20"/>
          <w:szCs w:val="20"/>
        </w:rPr>
      </w:pPr>
      <w:r>
        <w:rPr>
          <w:rFonts w:ascii="Verdana" w:hAnsi="Verdana" w:cs="Century Gothic"/>
          <w:bCs/>
          <w:snapToGrid w:val="0"/>
          <w:sz w:val="20"/>
          <w:szCs w:val="20"/>
        </w:rPr>
        <w:t>Daran schloss sich eine Information über die Ergebnisse des DM/PSM-Ausschusses des Bundesv</w:t>
      </w:r>
      <w:r w:rsidR="004C1F3F">
        <w:rPr>
          <w:rFonts w:ascii="Verdana" w:hAnsi="Verdana" w:cs="Century Gothic"/>
          <w:bCs/>
          <w:snapToGrid w:val="0"/>
          <w:sz w:val="20"/>
          <w:szCs w:val="20"/>
        </w:rPr>
        <w:t>erbandes der Agrargewerblichen W</w:t>
      </w:r>
      <w:r>
        <w:rPr>
          <w:rFonts w:ascii="Verdana" w:hAnsi="Verdana" w:cs="Century Gothic"/>
          <w:bCs/>
          <w:snapToGrid w:val="0"/>
          <w:sz w:val="20"/>
          <w:szCs w:val="20"/>
        </w:rPr>
        <w:t>irtschaft e. V. (BVA) am 29.02.2016 in Kassel an.</w:t>
      </w:r>
    </w:p>
    <w:p w:rsidR="00552B99" w:rsidRDefault="00552B99" w:rsidP="00B30A2D">
      <w:pPr>
        <w:widowControl w:val="0"/>
        <w:autoSpaceDE w:val="0"/>
        <w:autoSpaceDN w:val="0"/>
        <w:ind w:right="90"/>
        <w:jc w:val="both"/>
        <w:rPr>
          <w:rFonts w:ascii="Verdana" w:hAnsi="Verdana" w:cs="Century Gothic"/>
          <w:bCs/>
          <w:snapToGrid w:val="0"/>
          <w:sz w:val="20"/>
          <w:szCs w:val="20"/>
        </w:rPr>
      </w:pPr>
      <w:r>
        <w:rPr>
          <w:rFonts w:ascii="Verdana" w:hAnsi="Verdana" w:cs="Century Gothic"/>
          <w:bCs/>
          <w:snapToGrid w:val="0"/>
          <w:sz w:val="20"/>
          <w:szCs w:val="20"/>
        </w:rPr>
        <w:t>Der Abend klan</w:t>
      </w:r>
      <w:r w:rsidR="004C1F3F">
        <w:rPr>
          <w:rFonts w:ascii="Verdana" w:hAnsi="Verdana" w:cs="Century Gothic"/>
          <w:bCs/>
          <w:snapToGrid w:val="0"/>
          <w:sz w:val="20"/>
          <w:szCs w:val="20"/>
        </w:rPr>
        <w:t>g</w:t>
      </w:r>
      <w:r>
        <w:rPr>
          <w:rFonts w:ascii="Verdana" w:hAnsi="Verdana" w:cs="Century Gothic"/>
          <w:bCs/>
          <w:snapToGrid w:val="0"/>
          <w:sz w:val="20"/>
          <w:szCs w:val="20"/>
        </w:rPr>
        <w:t xml:space="preserve"> dann mit einem zünftigen Fischessen im Rostocker Traditionslokal „Kogge“ aus.</w:t>
      </w:r>
    </w:p>
    <w:p w:rsidR="00552B99" w:rsidRDefault="00552B99" w:rsidP="00B30A2D">
      <w:pPr>
        <w:widowControl w:val="0"/>
        <w:autoSpaceDE w:val="0"/>
        <w:autoSpaceDN w:val="0"/>
        <w:ind w:right="90"/>
        <w:jc w:val="both"/>
        <w:rPr>
          <w:rFonts w:ascii="Verdana" w:hAnsi="Verdana" w:cs="Century Gothic"/>
          <w:bCs/>
          <w:snapToGrid w:val="0"/>
          <w:sz w:val="20"/>
          <w:szCs w:val="20"/>
        </w:rPr>
      </w:pPr>
      <w:r>
        <w:rPr>
          <w:rFonts w:ascii="Verdana" w:hAnsi="Verdana" w:cs="Century Gothic"/>
          <w:bCs/>
          <w:snapToGrid w:val="0"/>
          <w:sz w:val="20"/>
          <w:szCs w:val="20"/>
        </w:rPr>
        <w:t>Am Vormittag des 7. April 2016 stand dann eine Hafenrundfahrt in Rostock auf dem Programm.</w:t>
      </w:r>
    </w:p>
    <w:p w:rsidR="00552B99" w:rsidRPr="00552B99" w:rsidRDefault="00552B99" w:rsidP="00B30A2D">
      <w:pPr>
        <w:widowControl w:val="0"/>
        <w:autoSpaceDE w:val="0"/>
        <w:autoSpaceDN w:val="0"/>
        <w:ind w:right="90"/>
        <w:jc w:val="both"/>
        <w:rPr>
          <w:rFonts w:ascii="Verdana" w:hAnsi="Verdana" w:cs="Century Gothic"/>
          <w:b/>
          <w:bCs/>
          <w:snapToGrid w:val="0"/>
          <w:color w:val="E36C0A" w:themeColor="accent6" w:themeShade="BF"/>
          <w:sz w:val="20"/>
          <w:szCs w:val="20"/>
        </w:rPr>
      </w:pPr>
      <w:r w:rsidRPr="00552B99">
        <w:rPr>
          <w:rFonts w:ascii="Verdana" w:hAnsi="Verdana" w:cs="Century Gothic"/>
          <w:b/>
          <w:bCs/>
          <w:snapToGrid w:val="0"/>
          <w:color w:val="E36C0A" w:themeColor="accent6" w:themeShade="BF"/>
          <w:sz w:val="20"/>
          <w:szCs w:val="20"/>
        </w:rPr>
        <w:t>Wir bedanken uns an dieser Stelle ganz herzlich bei Herrn Dietz von YARA und den Kollegen vom Düngemittelwerk für die gelungene Fachausschussberatung.</w:t>
      </w:r>
    </w:p>
    <w:p w:rsidR="00552B99" w:rsidRDefault="00552B99" w:rsidP="00B30A2D">
      <w:pPr>
        <w:widowControl w:val="0"/>
        <w:autoSpaceDE w:val="0"/>
        <w:autoSpaceDN w:val="0"/>
        <w:ind w:right="90"/>
        <w:jc w:val="both"/>
        <w:rPr>
          <w:rFonts w:ascii="Verdana" w:hAnsi="Verdana" w:cs="Century Gothic"/>
          <w:bCs/>
          <w:snapToGrid w:val="0"/>
          <w:sz w:val="20"/>
          <w:szCs w:val="20"/>
        </w:rPr>
      </w:pPr>
    </w:p>
    <w:p w:rsidR="00552B99" w:rsidRPr="00B30A2D" w:rsidRDefault="00552B99" w:rsidP="00B30A2D">
      <w:pPr>
        <w:widowControl w:val="0"/>
        <w:autoSpaceDE w:val="0"/>
        <w:autoSpaceDN w:val="0"/>
        <w:ind w:right="90"/>
        <w:jc w:val="both"/>
        <w:rPr>
          <w:rFonts w:ascii="Verdana" w:hAnsi="Verdana" w:cs="Century Gothic"/>
          <w:bCs/>
          <w:snapToGrid w:val="0"/>
          <w:sz w:val="20"/>
          <w:szCs w:val="20"/>
        </w:rPr>
      </w:pPr>
    </w:p>
    <w:p w:rsidR="008D6912" w:rsidRPr="006F535C" w:rsidRDefault="00993435" w:rsidP="00AB40C0">
      <w:pPr>
        <w:pStyle w:val="Default"/>
        <w:jc w:val="both"/>
        <w:rPr>
          <w:rFonts w:ascii="Verdana" w:hAnsi="Verdana"/>
          <w:b/>
          <w:color w:val="104815"/>
          <w:sz w:val="22"/>
          <w:szCs w:val="22"/>
        </w:rPr>
      </w:pPr>
      <w:r w:rsidRPr="006F535C">
        <w:rPr>
          <w:rFonts w:ascii="Verdana" w:hAnsi="Verdana"/>
          <w:b/>
          <w:color w:val="104815"/>
          <w:sz w:val="22"/>
          <w:szCs w:val="22"/>
        </w:rPr>
        <w:t xml:space="preserve">1.2. </w:t>
      </w:r>
      <w:r w:rsidR="00552B99">
        <w:rPr>
          <w:rFonts w:ascii="Verdana" w:hAnsi="Verdana"/>
          <w:b/>
          <w:color w:val="104815"/>
          <w:sz w:val="22"/>
          <w:szCs w:val="22"/>
        </w:rPr>
        <w:t>Arbeitsberatung in Altlandsberg</w:t>
      </w:r>
    </w:p>
    <w:p w:rsidR="00B30A2D" w:rsidRDefault="00552B99" w:rsidP="00B30A2D">
      <w:pPr>
        <w:pStyle w:val="Default"/>
        <w:jc w:val="both"/>
        <w:rPr>
          <w:rFonts w:ascii="Verdana" w:hAnsi="Verdana"/>
          <w:sz w:val="20"/>
          <w:szCs w:val="20"/>
        </w:rPr>
      </w:pPr>
      <w:r>
        <w:rPr>
          <w:rFonts w:ascii="Verdana" w:hAnsi="Verdana"/>
          <w:sz w:val="20"/>
          <w:szCs w:val="20"/>
        </w:rPr>
        <w:t>Die Mitarbeiter der Verbandsgeschäftsstellen der Regionalverbände haben am 13.04.2016 in Altlandsberg eine ausführliche Arbeitsberatung zur Vorbereitung/Umsetzung von Aktivitäten im Zusammenhang mi</w:t>
      </w:r>
      <w:r w:rsidR="004C1F3F">
        <w:rPr>
          <w:rFonts w:ascii="Verdana" w:hAnsi="Verdana"/>
          <w:sz w:val="20"/>
          <w:szCs w:val="20"/>
        </w:rPr>
        <w:t>t der Verbands</w:t>
      </w:r>
      <w:r>
        <w:rPr>
          <w:rFonts w:ascii="Verdana" w:hAnsi="Verdana"/>
          <w:sz w:val="20"/>
          <w:szCs w:val="20"/>
        </w:rPr>
        <w:t>f</w:t>
      </w:r>
      <w:r w:rsidR="004C1F3F">
        <w:rPr>
          <w:rFonts w:ascii="Verdana" w:hAnsi="Verdana"/>
          <w:sz w:val="20"/>
          <w:szCs w:val="20"/>
        </w:rPr>
        <w:t>u</w:t>
      </w:r>
      <w:r>
        <w:rPr>
          <w:rFonts w:ascii="Verdana" w:hAnsi="Verdana"/>
          <w:sz w:val="20"/>
          <w:szCs w:val="20"/>
        </w:rPr>
        <w:t>sion durchgeführt. In einer detaillierten Aktivitätenliste wurden dabei die notwendigen Arbeitsschritte, Termine sowie Verantwortlichkeiten dokumentiert.</w:t>
      </w:r>
    </w:p>
    <w:p w:rsidR="00552B99" w:rsidRDefault="00552B99" w:rsidP="00B30A2D">
      <w:pPr>
        <w:pStyle w:val="Default"/>
        <w:jc w:val="both"/>
        <w:rPr>
          <w:rFonts w:ascii="Verdana" w:hAnsi="Verdana"/>
          <w:sz w:val="20"/>
          <w:szCs w:val="20"/>
        </w:rPr>
      </w:pPr>
      <w:r>
        <w:rPr>
          <w:rFonts w:ascii="Verdana" w:hAnsi="Verdana"/>
          <w:sz w:val="20"/>
          <w:szCs w:val="20"/>
        </w:rPr>
        <w:lastRenderedPageBreak/>
        <w:t>Im Nachgang zur letzten Sitzung des Fachverbandspräsidiums (siehe auch Mitglieder-Info 03/2016 vom 22.03.2016) wurde nochmals intensiv üb</w:t>
      </w:r>
      <w:r w:rsidR="004C1F3F">
        <w:rPr>
          <w:rFonts w:ascii="Verdana" w:hAnsi="Verdana"/>
          <w:sz w:val="20"/>
          <w:szCs w:val="20"/>
        </w:rPr>
        <w:t>er die Verfahrensweise mit den F</w:t>
      </w:r>
      <w:r>
        <w:rPr>
          <w:rFonts w:ascii="Verdana" w:hAnsi="Verdana"/>
          <w:sz w:val="20"/>
          <w:szCs w:val="20"/>
        </w:rPr>
        <w:t xml:space="preserve">ördermitgliedern im Zusammenhang mit der Verbandsfusion gesprochen </w:t>
      </w:r>
      <w:r w:rsidR="004C1F3F">
        <w:rPr>
          <w:rFonts w:ascii="Verdana" w:hAnsi="Verdana"/>
          <w:sz w:val="20"/>
          <w:szCs w:val="20"/>
        </w:rPr>
        <w:t>und daraus folgend V</w:t>
      </w:r>
      <w:r>
        <w:rPr>
          <w:rFonts w:ascii="Verdana" w:hAnsi="Verdana"/>
          <w:sz w:val="20"/>
          <w:szCs w:val="20"/>
        </w:rPr>
        <w:t>erbandspräsident Wildt vorgeschlagen, abweichend vom Protokoll der Präsidiumssitzung</w:t>
      </w:r>
      <w:r w:rsidR="004C1F3F">
        <w:rPr>
          <w:rFonts w:ascii="Verdana" w:hAnsi="Verdana"/>
          <w:sz w:val="20"/>
          <w:szCs w:val="20"/>
        </w:rPr>
        <w:t>,</w:t>
      </w:r>
      <w:r>
        <w:rPr>
          <w:rFonts w:ascii="Verdana" w:hAnsi="Verdana"/>
          <w:sz w:val="20"/>
          <w:szCs w:val="20"/>
        </w:rPr>
        <w:t xml:space="preserve"> doch ein gemeinsames Treffen mit unseren Fördermitgliedern durchzuführen.</w:t>
      </w:r>
    </w:p>
    <w:p w:rsidR="00AF4E37" w:rsidRDefault="00AF4E37" w:rsidP="00B30A2D">
      <w:pPr>
        <w:pStyle w:val="Default"/>
        <w:jc w:val="both"/>
        <w:rPr>
          <w:rFonts w:ascii="Verdana" w:hAnsi="Verdana"/>
          <w:sz w:val="20"/>
          <w:szCs w:val="20"/>
        </w:rPr>
      </w:pPr>
      <w:r>
        <w:rPr>
          <w:rFonts w:ascii="Verdana" w:hAnsi="Verdana"/>
          <w:sz w:val="20"/>
          <w:szCs w:val="20"/>
        </w:rPr>
        <w:t xml:space="preserve">Dieses wurde zwischenzeitlich auf den </w:t>
      </w:r>
      <w:r w:rsidRPr="004C1F3F">
        <w:rPr>
          <w:rFonts w:ascii="Verdana" w:hAnsi="Verdana"/>
          <w:sz w:val="20"/>
          <w:szCs w:val="20"/>
          <w:u w:val="single"/>
        </w:rPr>
        <w:t>7. Juli 2016 in Brehna</w:t>
      </w:r>
      <w:r>
        <w:rPr>
          <w:rFonts w:ascii="Verdana" w:hAnsi="Verdana"/>
          <w:sz w:val="20"/>
          <w:szCs w:val="20"/>
        </w:rPr>
        <w:t xml:space="preserve"> mit folgenden Inhalten terminisiert:</w:t>
      </w:r>
    </w:p>
    <w:p w:rsidR="00AF4E37" w:rsidRPr="00AF4E37" w:rsidRDefault="00AF4E37" w:rsidP="00AF4E37">
      <w:pPr>
        <w:pStyle w:val="Listenabsatz"/>
        <w:numPr>
          <w:ilvl w:val="0"/>
          <w:numId w:val="48"/>
        </w:numPr>
        <w:contextualSpacing w:val="0"/>
        <w:rPr>
          <w:rFonts w:ascii="Verdana" w:hAnsi="Verdana"/>
          <w:sz w:val="20"/>
          <w:szCs w:val="20"/>
        </w:rPr>
      </w:pPr>
      <w:r w:rsidRPr="00AF4E37">
        <w:rPr>
          <w:rFonts w:ascii="Verdana" w:hAnsi="Verdana"/>
          <w:sz w:val="20"/>
          <w:szCs w:val="20"/>
        </w:rPr>
        <w:t>Wertung der bisherigen Zusammenarbeit</w:t>
      </w:r>
    </w:p>
    <w:p w:rsidR="00AF4E37" w:rsidRPr="00AF4E37" w:rsidRDefault="00AF4E37" w:rsidP="00AF4E37">
      <w:pPr>
        <w:pStyle w:val="Listenabsatz"/>
        <w:numPr>
          <w:ilvl w:val="0"/>
          <w:numId w:val="48"/>
        </w:numPr>
        <w:contextualSpacing w:val="0"/>
        <w:rPr>
          <w:rFonts w:ascii="Verdana" w:hAnsi="Verdana"/>
          <w:sz w:val="20"/>
          <w:szCs w:val="20"/>
        </w:rPr>
      </w:pPr>
      <w:r w:rsidRPr="00AF4E37">
        <w:rPr>
          <w:rFonts w:ascii="Verdana" w:hAnsi="Verdana"/>
          <w:sz w:val="20"/>
          <w:szCs w:val="20"/>
        </w:rPr>
        <w:t>Information zur Verbandsfusion und den damit verbundenen Strukturveränderungen</w:t>
      </w:r>
    </w:p>
    <w:p w:rsidR="00AF4E37" w:rsidRPr="00AF4E37" w:rsidRDefault="00AF4E37" w:rsidP="00AF4E37">
      <w:pPr>
        <w:pStyle w:val="Listenabsatz"/>
        <w:numPr>
          <w:ilvl w:val="0"/>
          <w:numId w:val="48"/>
        </w:numPr>
        <w:contextualSpacing w:val="0"/>
        <w:rPr>
          <w:rFonts w:ascii="Verdana" w:hAnsi="Verdana"/>
          <w:sz w:val="20"/>
          <w:szCs w:val="20"/>
        </w:rPr>
      </w:pPr>
      <w:r w:rsidRPr="00AF4E37">
        <w:rPr>
          <w:rFonts w:ascii="Verdana" w:hAnsi="Verdana"/>
          <w:sz w:val="20"/>
          <w:szCs w:val="20"/>
        </w:rPr>
        <w:t>Fortsetzung/Ausgestaltung der künftigen Zusammenarbeit einschl. der Gewährung der finanziellen Beiträge</w:t>
      </w:r>
    </w:p>
    <w:p w:rsidR="00AF4E37" w:rsidRDefault="00AF4E37" w:rsidP="00AF4E37">
      <w:pPr>
        <w:pStyle w:val="Listenabsatz"/>
        <w:numPr>
          <w:ilvl w:val="0"/>
          <w:numId w:val="48"/>
        </w:numPr>
        <w:contextualSpacing w:val="0"/>
        <w:rPr>
          <w:rFonts w:ascii="Verdana" w:hAnsi="Verdana"/>
          <w:sz w:val="20"/>
          <w:szCs w:val="20"/>
        </w:rPr>
      </w:pPr>
      <w:r w:rsidRPr="00AF4E37">
        <w:rPr>
          <w:rFonts w:ascii="Verdana" w:hAnsi="Verdana"/>
          <w:sz w:val="20"/>
          <w:szCs w:val="20"/>
        </w:rPr>
        <w:t>Eventuell: Fachvortrag von Herrn Dr. Schuhmacher (freiberuflicher Berater bei der BayWa)</w:t>
      </w:r>
      <w:r w:rsidR="004C1F3F">
        <w:rPr>
          <w:rFonts w:ascii="Verdana" w:hAnsi="Verdana"/>
          <w:sz w:val="20"/>
          <w:szCs w:val="20"/>
        </w:rPr>
        <w:t>.</w:t>
      </w:r>
    </w:p>
    <w:p w:rsidR="004C1F3F" w:rsidRDefault="004C1F3F" w:rsidP="00AF4E37">
      <w:pPr>
        <w:pStyle w:val="Listenabsatz"/>
        <w:numPr>
          <w:ilvl w:val="0"/>
          <w:numId w:val="48"/>
        </w:numPr>
        <w:contextualSpacing w:val="0"/>
        <w:rPr>
          <w:rFonts w:ascii="Verdana" w:hAnsi="Verdana"/>
          <w:sz w:val="20"/>
          <w:szCs w:val="20"/>
        </w:rPr>
      </w:pPr>
    </w:p>
    <w:p w:rsidR="004C1F3F" w:rsidRPr="004C1F3F" w:rsidRDefault="004C1F3F" w:rsidP="004C1F3F">
      <w:pPr>
        <w:rPr>
          <w:rFonts w:ascii="Verdana" w:hAnsi="Verdana"/>
          <w:sz w:val="20"/>
          <w:szCs w:val="20"/>
        </w:rPr>
      </w:pPr>
      <w:r>
        <w:rPr>
          <w:rFonts w:ascii="Verdana" w:hAnsi="Verdana"/>
          <w:sz w:val="20"/>
          <w:szCs w:val="20"/>
        </w:rPr>
        <w:t>Eine entsprechende Einladung wird in Kürze verschickt.</w:t>
      </w:r>
    </w:p>
    <w:p w:rsidR="00AF4E37" w:rsidRDefault="00AF4E37" w:rsidP="00AF4E37">
      <w:pPr>
        <w:rPr>
          <w:rFonts w:ascii="Verdana" w:hAnsi="Verdana"/>
          <w:sz w:val="20"/>
          <w:szCs w:val="20"/>
        </w:rPr>
      </w:pPr>
    </w:p>
    <w:p w:rsidR="004C1F3F" w:rsidRPr="00AF4E37" w:rsidRDefault="004C1F3F" w:rsidP="00AF4E37">
      <w:pPr>
        <w:rPr>
          <w:rFonts w:ascii="Verdana" w:hAnsi="Verdana"/>
          <w:sz w:val="20"/>
          <w:szCs w:val="20"/>
        </w:rPr>
      </w:pPr>
    </w:p>
    <w:p w:rsidR="00AF4E37" w:rsidRPr="00AF4E37" w:rsidRDefault="00AF4E37" w:rsidP="00AF4E37">
      <w:pPr>
        <w:rPr>
          <w:rFonts w:ascii="Verdana" w:hAnsi="Verdana"/>
          <w:sz w:val="20"/>
          <w:szCs w:val="20"/>
        </w:rPr>
      </w:pPr>
      <w:r w:rsidRPr="00AF4E37">
        <w:rPr>
          <w:rFonts w:ascii="Verdana" w:hAnsi="Verdana"/>
          <w:sz w:val="20"/>
          <w:szCs w:val="20"/>
        </w:rPr>
        <w:t xml:space="preserve">Des Weiteren </w:t>
      </w:r>
      <w:r>
        <w:rPr>
          <w:rFonts w:ascii="Verdana" w:hAnsi="Verdana"/>
          <w:sz w:val="20"/>
          <w:szCs w:val="20"/>
        </w:rPr>
        <w:t>wurde der</w:t>
      </w:r>
      <w:r w:rsidRPr="00AF4E37">
        <w:rPr>
          <w:rFonts w:ascii="Verdana" w:hAnsi="Verdana"/>
          <w:sz w:val="20"/>
          <w:szCs w:val="20"/>
        </w:rPr>
        <w:t xml:space="preserve"> </w:t>
      </w:r>
      <w:r w:rsidRPr="00AF4E37">
        <w:rPr>
          <w:rFonts w:ascii="Verdana" w:hAnsi="Verdana"/>
          <w:b/>
          <w:bCs/>
          <w:sz w:val="20"/>
          <w:szCs w:val="20"/>
        </w:rPr>
        <w:t>Arbeitsplan 2016</w:t>
      </w:r>
      <w:r w:rsidRPr="00AF4E37">
        <w:rPr>
          <w:rFonts w:ascii="Verdana" w:hAnsi="Verdana"/>
          <w:sz w:val="20"/>
          <w:szCs w:val="20"/>
        </w:rPr>
        <w:t xml:space="preserve"> im Detail noch einmal besprochen und die Verantwortlichkeiten präzisiert. </w:t>
      </w:r>
      <w:r>
        <w:rPr>
          <w:rFonts w:ascii="Verdana" w:hAnsi="Verdana"/>
          <w:sz w:val="20"/>
          <w:szCs w:val="20"/>
        </w:rPr>
        <w:t>Als</w:t>
      </w:r>
      <w:r w:rsidRPr="00AF4E37">
        <w:rPr>
          <w:rFonts w:ascii="Verdana" w:hAnsi="Verdana"/>
          <w:sz w:val="20"/>
          <w:szCs w:val="20"/>
        </w:rPr>
        <w:t xml:space="preserve"> Themen der </w:t>
      </w:r>
      <w:r w:rsidRPr="00AF4E37">
        <w:rPr>
          <w:rFonts w:ascii="Verdana" w:hAnsi="Verdana"/>
          <w:b/>
          <w:bCs/>
          <w:sz w:val="20"/>
          <w:szCs w:val="20"/>
        </w:rPr>
        <w:t>Fachvorträge zum Verbandstag 2017</w:t>
      </w:r>
      <w:r w:rsidRPr="00AF4E37">
        <w:rPr>
          <w:rFonts w:ascii="Verdana" w:hAnsi="Verdana"/>
          <w:sz w:val="20"/>
          <w:szCs w:val="20"/>
        </w:rPr>
        <w:t xml:space="preserve"> </w:t>
      </w:r>
      <w:r w:rsidR="004C1F3F">
        <w:rPr>
          <w:rFonts w:ascii="Verdana" w:hAnsi="Verdana"/>
          <w:sz w:val="20"/>
          <w:szCs w:val="20"/>
        </w:rPr>
        <w:t>wurden zur S</w:t>
      </w:r>
      <w:r>
        <w:rPr>
          <w:rFonts w:ascii="Verdana" w:hAnsi="Verdana"/>
          <w:sz w:val="20"/>
          <w:szCs w:val="20"/>
        </w:rPr>
        <w:t>prache gebracht:</w:t>
      </w:r>
    </w:p>
    <w:p w:rsidR="00AF4E37" w:rsidRPr="00AF4E37" w:rsidRDefault="00AF4E37" w:rsidP="00AF4E37">
      <w:pPr>
        <w:pStyle w:val="Listenabsatz"/>
        <w:numPr>
          <w:ilvl w:val="0"/>
          <w:numId w:val="48"/>
        </w:numPr>
        <w:contextualSpacing w:val="0"/>
        <w:rPr>
          <w:rFonts w:ascii="Verdana" w:hAnsi="Verdana"/>
          <w:sz w:val="20"/>
          <w:szCs w:val="20"/>
        </w:rPr>
      </w:pPr>
      <w:r w:rsidRPr="00AF4E37">
        <w:rPr>
          <w:rFonts w:ascii="Verdana" w:hAnsi="Verdana"/>
          <w:sz w:val="20"/>
          <w:szCs w:val="20"/>
        </w:rPr>
        <w:t>Dr. Schuhmacher (s. o.) – Freihandelsvertrag mit USA</w:t>
      </w:r>
    </w:p>
    <w:p w:rsidR="00AF4E37" w:rsidRPr="00AF4E37" w:rsidRDefault="00AF4E37" w:rsidP="00AF4E37">
      <w:pPr>
        <w:pStyle w:val="Listenabsatz"/>
        <w:numPr>
          <w:ilvl w:val="0"/>
          <w:numId w:val="48"/>
        </w:numPr>
        <w:contextualSpacing w:val="0"/>
        <w:rPr>
          <w:rFonts w:ascii="Verdana" w:hAnsi="Verdana"/>
          <w:sz w:val="20"/>
          <w:szCs w:val="20"/>
        </w:rPr>
      </w:pPr>
      <w:r w:rsidRPr="00AF4E37">
        <w:rPr>
          <w:rFonts w:ascii="Verdana" w:hAnsi="Verdana"/>
          <w:sz w:val="20"/>
          <w:szCs w:val="20"/>
        </w:rPr>
        <w:t>Herr Röser, BASF – Landwirtschaft 4.0</w:t>
      </w:r>
    </w:p>
    <w:p w:rsidR="00AF4E37" w:rsidRPr="00AF4E37" w:rsidRDefault="00AF4E37" w:rsidP="00AF4E37">
      <w:pPr>
        <w:pStyle w:val="Listenabsatz"/>
        <w:numPr>
          <w:ilvl w:val="0"/>
          <w:numId w:val="48"/>
        </w:numPr>
        <w:contextualSpacing w:val="0"/>
        <w:rPr>
          <w:rFonts w:ascii="Verdana" w:hAnsi="Verdana"/>
          <w:sz w:val="20"/>
          <w:szCs w:val="20"/>
        </w:rPr>
      </w:pPr>
      <w:r w:rsidRPr="00AF4E37">
        <w:rPr>
          <w:rFonts w:ascii="Verdana" w:hAnsi="Verdana"/>
          <w:sz w:val="20"/>
          <w:szCs w:val="20"/>
        </w:rPr>
        <w:t>Staatssekretär BMEL Dr. Kloos – Freier Markt versus staatliche Reglementierung</w:t>
      </w:r>
    </w:p>
    <w:p w:rsidR="00AF4E37" w:rsidRPr="00AF4E37" w:rsidRDefault="00AF4E37" w:rsidP="00AF4E37">
      <w:pPr>
        <w:pStyle w:val="Listenabsatz"/>
        <w:numPr>
          <w:ilvl w:val="0"/>
          <w:numId w:val="48"/>
        </w:numPr>
        <w:contextualSpacing w:val="0"/>
        <w:rPr>
          <w:rFonts w:ascii="Verdana" w:hAnsi="Verdana"/>
          <w:sz w:val="20"/>
          <w:szCs w:val="20"/>
        </w:rPr>
      </w:pPr>
      <w:r w:rsidRPr="00AF4E37">
        <w:rPr>
          <w:rFonts w:ascii="Verdana" w:hAnsi="Verdana"/>
          <w:sz w:val="20"/>
          <w:szCs w:val="20"/>
        </w:rPr>
        <w:t>Prof. Dr. Langosch, HS Neubrandenburg – Kommunikation/Öffentlichkeitsarbeit</w:t>
      </w:r>
    </w:p>
    <w:p w:rsidR="00AF4E37" w:rsidRPr="00AF4E37" w:rsidRDefault="00AF4E37" w:rsidP="00AF4E37">
      <w:pPr>
        <w:rPr>
          <w:rFonts w:ascii="Verdana" w:hAnsi="Verdana"/>
          <w:sz w:val="20"/>
          <w:szCs w:val="20"/>
        </w:rPr>
      </w:pPr>
    </w:p>
    <w:p w:rsidR="00AF4E37" w:rsidRPr="00B30A2D" w:rsidRDefault="00AF4E37" w:rsidP="00B30A2D">
      <w:pPr>
        <w:pStyle w:val="Default"/>
        <w:jc w:val="both"/>
        <w:rPr>
          <w:rFonts w:ascii="Verdana" w:hAnsi="Verdana"/>
          <w:sz w:val="20"/>
          <w:szCs w:val="20"/>
        </w:rPr>
      </w:pPr>
    </w:p>
    <w:p w:rsidR="00AF4E37" w:rsidRPr="006F535C" w:rsidRDefault="00AF4E37" w:rsidP="00AF4E37">
      <w:pPr>
        <w:pStyle w:val="Default"/>
        <w:jc w:val="both"/>
        <w:rPr>
          <w:rFonts w:ascii="Verdana" w:hAnsi="Verdana"/>
          <w:b/>
          <w:color w:val="104815"/>
          <w:sz w:val="22"/>
          <w:szCs w:val="22"/>
        </w:rPr>
      </w:pPr>
      <w:r>
        <w:rPr>
          <w:rFonts w:ascii="Verdana" w:hAnsi="Verdana"/>
          <w:b/>
          <w:color w:val="104815"/>
          <w:sz w:val="22"/>
          <w:szCs w:val="22"/>
        </w:rPr>
        <w:t>1.3</w:t>
      </w:r>
      <w:r w:rsidRPr="006F535C">
        <w:rPr>
          <w:rFonts w:ascii="Verdana" w:hAnsi="Verdana"/>
          <w:b/>
          <w:color w:val="104815"/>
          <w:sz w:val="22"/>
          <w:szCs w:val="22"/>
        </w:rPr>
        <w:t xml:space="preserve">. </w:t>
      </w:r>
      <w:r>
        <w:rPr>
          <w:rFonts w:ascii="Verdana" w:hAnsi="Verdana"/>
          <w:b/>
          <w:color w:val="104815"/>
          <w:sz w:val="22"/>
          <w:szCs w:val="22"/>
        </w:rPr>
        <w:t>Erfahrungsaustausch zum Softwarepaket der Fa. AMIC GmbH</w:t>
      </w:r>
    </w:p>
    <w:p w:rsidR="008134D5" w:rsidRDefault="00AF4E37" w:rsidP="00C33F45">
      <w:pPr>
        <w:ind w:right="-60"/>
        <w:jc w:val="both"/>
        <w:rPr>
          <w:rFonts w:ascii="Verdana" w:hAnsi="Verdana" w:cs="Arial"/>
          <w:sz w:val="20"/>
          <w:szCs w:val="20"/>
        </w:rPr>
      </w:pPr>
      <w:r>
        <w:rPr>
          <w:rFonts w:ascii="Verdana" w:hAnsi="Verdana" w:cs="Arial"/>
          <w:sz w:val="20"/>
          <w:szCs w:val="20"/>
        </w:rPr>
        <w:t xml:space="preserve">Im Ergebnis einer gemeinsamen Interessentenabfrage mit dem Verband Sachsen/Thüringen zur kaufmännischen Software der Fa. AMIC </w:t>
      </w:r>
      <w:r w:rsidRPr="00AF4E37">
        <w:rPr>
          <w:rFonts w:ascii="Verdana" w:hAnsi="Verdana" w:cs="Arial"/>
          <w:sz w:val="20"/>
          <w:szCs w:val="20"/>
          <w:u w:val="single"/>
        </w:rPr>
        <w:t>bereiten wir einen Erfahrungsaustausch</w:t>
      </w:r>
      <w:r>
        <w:rPr>
          <w:rFonts w:ascii="Verdana" w:hAnsi="Verdana" w:cs="Arial"/>
          <w:sz w:val="20"/>
          <w:szCs w:val="20"/>
        </w:rPr>
        <w:t xml:space="preserve"> zu diesem Programm vor.</w:t>
      </w:r>
    </w:p>
    <w:p w:rsidR="00AF4E37" w:rsidRDefault="00AF4E37" w:rsidP="00C33F45">
      <w:pPr>
        <w:ind w:right="-60"/>
        <w:jc w:val="both"/>
        <w:rPr>
          <w:rFonts w:ascii="Verdana" w:hAnsi="Verdana" w:cs="Arial"/>
          <w:sz w:val="20"/>
          <w:szCs w:val="20"/>
        </w:rPr>
      </w:pPr>
      <w:r>
        <w:rPr>
          <w:rFonts w:ascii="Verdana" w:hAnsi="Verdana" w:cs="Arial"/>
          <w:sz w:val="20"/>
          <w:szCs w:val="20"/>
        </w:rPr>
        <w:t xml:space="preserve">Dieser findet am </w:t>
      </w:r>
      <w:r w:rsidRPr="00AF4E37">
        <w:rPr>
          <w:rFonts w:ascii="Verdana" w:hAnsi="Verdana" w:cs="Arial"/>
          <w:sz w:val="20"/>
          <w:szCs w:val="20"/>
          <w:u w:val="single"/>
        </w:rPr>
        <w:t>Mittwoch, 15. Juni 206, in den Räumen der Agroservice altenburg-Waldenburg e. G.</w:t>
      </w:r>
      <w:r>
        <w:rPr>
          <w:rFonts w:ascii="Verdana" w:hAnsi="Verdana" w:cs="Arial"/>
          <w:sz w:val="20"/>
          <w:szCs w:val="20"/>
        </w:rPr>
        <w:t xml:space="preserve"> in Ehrenhain (Thüringen) statt.</w:t>
      </w:r>
    </w:p>
    <w:p w:rsidR="00AF4E37" w:rsidRPr="00AF4E37" w:rsidRDefault="00AF4E37" w:rsidP="00C33F45">
      <w:pPr>
        <w:ind w:right="-60"/>
        <w:jc w:val="both"/>
        <w:rPr>
          <w:rFonts w:ascii="Verdana" w:hAnsi="Verdana" w:cs="Arial"/>
          <w:b/>
          <w:sz w:val="20"/>
          <w:szCs w:val="20"/>
        </w:rPr>
      </w:pPr>
      <w:r w:rsidRPr="00AF4E37">
        <w:rPr>
          <w:rFonts w:ascii="Verdana" w:hAnsi="Verdana" w:cs="Arial"/>
          <w:b/>
          <w:sz w:val="20"/>
          <w:szCs w:val="20"/>
        </w:rPr>
        <w:t>Bitte merken Sie sich diesen Termin vor!</w:t>
      </w:r>
    </w:p>
    <w:p w:rsidR="00AF4E37" w:rsidRDefault="00AF4E37" w:rsidP="00C33F45">
      <w:pPr>
        <w:ind w:right="-60"/>
        <w:jc w:val="both"/>
        <w:rPr>
          <w:rFonts w:ascii="Verdana" w:hAnsi="Verdana" w:cs="Arial"/>
          <w:sz w:val="20"/>
          <w:szCs w:val="20"/>
        </w:rPr>
      </w:pPr>
      <w:r>
        <w:rPr>
          <w:rFonts w:ascii="Verdana" w:hAnsi="Verdana" w:cs="Arial"/>
          <w:sz w:val="20"/>
          <w:szCs w:val="20"/>
        </w:rPr>
        <w:t>Die detaillierte Einladung geht Ihnen in Kürze zu.</w:t>
      </w:r>
    </w:p>
    <w:p w:rsidR="00AF4E37" w:rsidRDefault="00AF4E37" w:rsidP="00C33F45">
      <w:pPr>
        <w:ind w:right="-60"/>
        <w:jc w:val="both"/>
        <w:rPr>
          <w:rFonts w:ascii="Verdana" w:hAnsi="Verdana" w:cs="Arial"/>
          <w:sz w:val="20"/>
          <w:szCs w:val="20"/>
        </w:rPr>
      </w:pPr>
    </w:p>
    <w:p w:rsidR="00AF4E37" w:rsidRDefault="00AF4E37" w:rsidP="00C33F45">
      <w:pPr>
        <w:ind w:right="-60"/>
        <w:jc w:val="both"/>
        <w:rPr>
          <w:rFonts w:ascii="Verdana" w:hAnsi="Verdana" w:cs="Arial"/>
          <w:sz w:val="20"/>
          <w:szCs w:val="20"/>
        </w:rPr>
      </w:pPr>
    </w:p>
    <w:p w:rsidR="00AF4E37" w:rsidRDefault="00AF4E37" w:rsidP="00AF4E37">
      <w:pPr>
        <w:pStyle w:val="Default"/>
        <w:jc w:val="both"/>
        <w:rPr>
          <w:rFonts w:ascii="Verdana" w:hAnsi="Verdana"/>
          <w:b/>
          <w:color w:val="104815"/>
          <w:sz w:val="22"/>
          <w:szCs w:val="22"/>
        </w:rPr>
      </w:pPr>
      <w:r>
        <w:rPr>
          <w:rFonts w:ascii="Verdana" w:hAnsi="Verdana"/>
          <w:b/>
          <w:color w:val="104815"/>
          <w:sz w:val="22"/>
          <w:szCs w:val="22"/>
        </w:rPr>
        <w:t>1.4</w:t>
      </w:r>
      <w:r w:rsidRPr="006F535C">
        <w:rPr>
          <w:rFonts w:ascii="Verdana" w:hAnsi="Verdana"/>
          <w:b/>
          <w:color w:val="104815"/>
          <w:sz w:val="22"/>
          <w:szCs w:val="22"/>
        </w:rPr>
        <w:t xml:space="preserve">. </w:t>
      </w:r>
      <w:r>
        <w:rPr>
          <w:rFonts w:ascii="Verdana" w:hAnsi="Verdana"/>
          <w:b/>
          <w:color w:val="104815"/>
          <w:sz w:val="22"/>
          <w:szCs w:val="22"/>
        </w:rPr>
        <w:t>BVA-Pressekonferenz:</w:t>
      </w:r>
    </w:p>
    <w:p w:rsidR="00AF4E37" w:rsidRPr="006F535C" w:rsidRDefault="00AF4E37" w:rsidP="00AF4E37">
      <w:pPr>
        <w:pStyle w:val="Default"/>
        <w:jc w:val="both"/>
        <w:rPr>
          <w:rFonts w:ascii="Verdana" w:hAnsi="Verdana"/>
          <w:b/>
          <w:color w:val="104815"/>
          <w:sz w:val="22"/>
          <w:szCs w:val="22"/>
        </w:rPr>
      </w:pPr>
      <w:r>
        <w:rPr>
          <w:rFonts w:ascii="Verdana" w:hAnsi="Verdana"/>
          <w:b/>
          <w:color w:val="104815"/>
          <w:sz w:val="22"/>
          <w:szCs w:val="22"/>
        </w:rPr>
        <w:t>Neue Vermarktungsstrategien gefordert – Düngergeschäft rückläufig</w:t>
      </w:r>
    </w:p>
    <w:p w:rsidR="00AF4E37" w:rsidRPr="00AF4E37" w:rsidRDefault="00AF4E37" w:rsidP="00AF4E37">
      <w:pPr>
        <w:pStyle w:val="Default"/>
        <w:jc w:val="both"/>
        <w:rPr>
          <w:rFonts w:ascii="Verdana" w:hAnsi="Verdana"/>
          <w:sz w:val="20"/>
          <w:szCs w:val="20"/>
        </w:rPr>
      </w:pPr>
      <w:r w:rsidRPr="00AF4E37">
        <w:rPr>
          <w:rFonts w:ascii="Verdana" w:hAnsi="Verdana"/>
          <w:sz w:val="20"/>
          <w:szCs w:val="20"/>
        </w:rPr>
        <w:t xml:space="preserve">„Die sehr gute Versorgungslage auf den Getreidemärkten zwingt die Landwirte ihre </w:t>
      </w:r>
      <w:r w:rsidR="004C1F3F">
        <w:rPr>
          <w:rFonts w:ascii="Verdana" w:hAnsi="Verdana"/>
          <w:sz w:val="20"/>
          <w:szCs w:val="20"/>
        </w:rPr>
        <w:t>Vermarktungsstrategie neu auszu</w:t>
      </w:r>
      <w:r w:rsidRPr="00AF4E37">
        <w:rPr>
          <w:rFonts w:ascii="Verdana" w:hAnsi="Verdana"/>
          <w:sz w:val="20"/>
          <w:szCs w:val="20"/>
        </w:rPr>
        <w:t xml:space="preserve">richten“, erklärte BVA-Präsident Konrad Weiterer auf der Jahrespressekonferenz des Verbandes in Berlin. </w:t>
      </w:r>
    </w:p>
    <w:p w:rsidR="00AF4E37" w:rsidRDefault="00AF4E37" w:rsidP="00AF4E37">
      <w:pPr>
        <w:pStyle w:val="Default"/>
        <w:jc w:val="both"/>
        <w:rPr>
          <w:rFonts w:ascii="Verdana" w:hAnsi="Verdana"/>
          <w:sz w:val="20"/>
          <w:szCs w:val="20"/>
        </w:rPr>
      </w:pPr>
      <w:r w:rsidRPr="00AF4E37">
        <w:rPr>
          <w:rFonts w:ascii="Verdana" w:hAnsi="Verdana"/>
          <w:sz w:val="20"/>
          <w:szCs w:val="20"/>
        </w:rPr>
        <w:t xml:space="preserve">Nach drei Rekordernten </w:t>
      </w:r>
      <w:r w:rsidR="004C1F3F">
        <w:rPr>
          <w:rFonts w:ascii="Verdana" w:hAnsi="Verdana"/>
          <w:sz w:val="20"/>
          <w:szCs w:val="20"/>
        </w:rPr>
        <w:t>in Folge haben die globalen Wei</w:t>
      </w:r>
      <w:r w:rsidRPr="00AF4E37">
        <w:rPr>
          <w:rFonts w:ascii="Verdana" w:hAnsi="Verdana"/>
          <w:sz w:val="20"/>
          <w:szCs w:val="20"/>
        </w:rPr>
        <w:t>zen- und Maisbestände ein Rekordhoch erreicht. In diesem Umfeld gewinnt die konti</w:t>
      </w:r>
      <w:r w:rsidR="004C1F3F">
        <w:rPr>
          <w:rFonts w:ascii="Verdana" w:hAnsi="Verdana"/>
          <w:sz w:val="20"/>
          <w:szCs w:val="20"/>
        </w:rPr>
        <w:t>nuierliche Vermarktung an Bedeu</w:t>
      </w:r>
      <w:r w:rsidRPr="00AF4E37">
        <w:rPr>
          <w:rFonts w:ascii="Verdana" w:hAnsi="Verdana"/>
          <w:sz w:val="20"/>
          <w:szCs w:val="20"/>
        </w:rPr>
        <w:t>tung, so Weiterer. Ware in der Hoffnung auf steigende Preise zurückzuhalten, habe in die</w:t>
      </w:r>
      <w:r w:rsidR="004C1F3F">
        <w:rPr>
          <w:rFonts w:ascii="Verdana" w:hAnsi="Verdana"/>
          <w:sz w:val="20"/>
          <w:szCs w:val="20"/>
        </w:rPr>
        <w:t>sem Wirtschaftsjahr nicht zu hö</w:t>
      </w:r>
      <w:r w:rsidRPr="00AF4E37">
        <w:rPr>
          <w:rFonts w:ascii="Verdana" w:hAnsi="Verdana"/>
          <w:sz w:val="20"/>
          <w:szCs w:val="20"/>
        </w:rPr>
        <w:t xml:space="preserve">heren Erlöse geführt. „Die Lücken haben andere gefüllt“, stellte der BVA-Präsident </w:t>
      </w:r>
      <w:r w:rsidR="004C1F3F">
        <w:rPr>
          <w:rFonts w:ascii="Verdana" w:hAnsi="Verdana"/>
          <w:sz w:val="20"/>
          <w:szCs w:val="20"/>
        </w:rPr>
        <w:t>fest. Im Rahmen der Pressekonfe</w:t>
      </w:r>
      <w:r w:rsidRPr="00AF4E37">
        <w:rPr>
          <w:rFonts w:ascii="Verdana" w:hAnsi="Verdana"/>
          <w:sz w:val="20"/>
          <w:szCs w:val="20"/>
        </w:rPr>
        <w:t xml:space="preserve">renz nahm der BVA zu verschiedenen Themen Stellung. </w:t>
      </w:r>
    </w:p>
    <w:p w:rsidR="004C1F3F" w:rsidRPr="00AF4E37" w:rsidRDefault="004C1F3F" w:rsidP="00AF4E37">
      <w:pPr>
        <w:pStyle w:val="Default"/>
        <w:jc w:val="both"/>
        <w:rPr>
          <w:rFonts w:ascii="Verdana" w:hAnsi="Verdana"/>
          <w:sz w:val="20"/>
          <w:szCs w:val="20"/>
        </w:rPr>
      </w:pPr>
    </w:p>
    <w:p w:rsidR="00AF4E37" w:rsidRPr="00AF4E37" w:rsidRDefault="00AF4E37" w:rsidP="00AF4E37">
      <w:pPr>
        <w:pStyle w:val="Default"/>
        <w:jc w:val="both"/>
        <w:rPr>
          <w:rFonts w:ascii="Verdana" w:hAnsi="Verdana" w:cs="Calibri"/>
          <w:sz w:val="20"/>
          <w:szCs w:val="20"/>
        </w:rPr>
      </w:pPr>
      <w:r w:rsidRPr="00AF4E37">
        <w:rPr>
          <w:rFonts w:ascii="Verdana" w:hAnsi="Verdana" w:cs="Calibri"/>
          <w:b/>
          <w:bCs/>
          <w:sz w:val="20"/>
          <w:szCs w:val="20"/>
        </w:rPr>
        <w:t>Exportmarkt und Mis</w:t>
      </w:r>
      <w:r w:rsidR="004C1F3F">
        <w:rPr>
          <w:rFonts w:ascii="Verdana" w:hAnsi="Verdana" w:cs="Calibri"/>
          <w:b/>
          <w:bCs/>
          <w:sz w:val="20"/>
          <w:szCs w:val="20"/>
        </w:rPr>
        <w:t>chfutterindustrie bieten Absatz</w:t>
      </w:r>
      <w:r w:rsidRPr="00AF4E37">
        <w:rPr>
          <w:rFonts w:ascii="Verdana" w:hAnsi="Verdana" w:cs="Calibri"/>
          <w:b/>
          <w:bCs/>
          <w:sz w:val="20"/>
          <w:szCs w:val="20"/>
        </w:rPr>
        <w:t xml:space="preserve">chancen </w:t>
      </w:r>
    </w:p>
    <w:p w:rsidR="00AF4E37" w:rsidRPr="00AF4E37" w:rsidRDefault="00AF4E37" w:rsidP="00AF4E37">
      <w:pPr>
        <w:pStyle w:val="Default"/>
        <w:jc w:val="both"/>
        <w:rPr>
          <w:rFonts w:ascii="Verdana" w:hAnsi="Verdana"/>
          <w:sz w:val="20"/>
          <w:szCs w:val="20"/>
        </w:rPr>
      </w:pPr>
      <w:r w:rsidRPr="00AF4E37">
        <w:rPr>
          <w:rFonts w:ascii="Verdana" w:hAnsi="Verdana"/>
          <w:sz w:val="20"/>
          <w:szCs w:val="20"/>
        </w:rPr>
        <w:t>Nach Aussage von BVA-Pr</w:t>
      </w:r>
      <w:r w:rsidR="004C1F3F">
        <w:rPr>
          <w:rFonts w:ascii="Verdana" w:hAnsi="Verdana"/>
          <w:sz w:val="20"/>
          <w:szCs w:val="20"/>
        </w:rPr>
        <w:t>äsident Weiterer ist in den ver</w:t>
      </w:r>
      <w:r w:rsidRPr="00AF4E37">
        <w:rPr>
          <w:rFonts w:ascii="Verdana" w:hAnsi="Verdana"/>
          <w:sz w:val="20"/>
          <w:szCs w:val="20"/>
        </w:rPr>
        <w:t>gangenen Wochen die Abgabebereitschaft der Landwirte gestiegen. Er rät den Landwirten, die aktuelle Exportnachfrage zu nutzen und sich von ihrem noch auf den Höfen liegenden Weizen trennen. Auch die Mischfutterindustrie bietet bis zur Ernte no</w:t>
      </w:r>
      <w:r w:rsidR="004C1F3F">
        <w:rPr>
          <w:rFonts w:ascii="Verdana" w:hAnsi="Verdana"/>
          <w:sz w:val="20"/>
          <w:szCs w:val="20"/>
        </w:rPr>
        <w:t>ch Absatzmöglichkeiten. Die Ver</w:t>
      </w:r>
      <w:r w:rsidRPr="00AF4E37">
        <w:rPr>
          <w:rFonts w:ascii="Verdana" w:hAnsi="Verdana"/>
          <w:sz w:val="20"/>
          <w:szCs w:val="20"/>
        </w:rPr>
        <w:t xml:space="preserve">marktung der neuen Ernte läuft nur schleppend an. Vorkontrakte erreichen nicht die Mengen aus den Vorjahren, obwohl die Verarbeiter daran interessiert sind, Ware in die Bücher zu nehmen. </w:t>
      </w:r>
    </w:p>
    <w:p w:rsidR="00AF4E37" w:rsidRPr="00AF4E37" w:rsidRDefault="00AF4E37" w:rsidP="00AF4E37">
      <w:pPr>
        <w:pStyle w:val="Default"/>
        <w:jc w:val="both"/>
        <w:rPr>
          <w:rFonts w:ascii="Verdana" w:hAnsi="Verdana" w:cs="Calibri"/>
          <w:sz w:val="20"/>
          <w:szCs w:val="20"/>
        </w:rPr>
      </w:pPr>
      <w:r w:rsidRPr="00AF4E37">
        <w:rPr>
          <w:rFonts w:ascii="Verdana" w:hAnsi="Verdana" w:cs="Calibri"/>
          <w:b/>
          <w:bCs/>
          <w:sz w:val="20"/>
          <w:szCs w:val="20"/>
        </w:rPr>
        <w:lastRenderedPageBreak/>
        <w:t xml:space="preserve">Verzögerungen bei Wirkstoff-Wieder-zulassungen unverständlich </w:t>
      </w:r>
    </w:p>
    <w:p w:rsidR="00AF4E37" w:rsidRDefault="00AF4E37" w:rsidP="00AF4E37">
      <w:pPr>
        <w:pStyle w:val="Default"/>
        <w:jc w:val="both"/>
        <w:rPr>
          <w:rFonts w:ascii="Verdana" w:hAnsi="Verdana"/>
          <w:sz w:val="20"/>
          <w:szCs w:val="20"/>
        </w:rPr>
      </w:pPr>
      <w:r w:rsidRPr="00AF4E37">
        <w:rPr>
          <w:rFonts w:ascii="Verdana" w:hAnsi="Verdana"/>
          <w:sz w:val="20"/>
          <w:szCs w:val="20"/>
        </w:rPr>
        <w:t>„Die Tendenz zu Verzögerungen bei Wiederzulassungen von Pflanzenschutzmittelwirkstoffen stößt im Agrarhandel auf Unverständnis“, erklärte BVA-Geschäftsführer Arnim Rohwer. „Unsere Mitgliedsunternehmen beliefern die Landwirtschaft nicht nur mit Pflanzenschutzmitteln, sondern stellen i</w:t>
      </w:r>
      <w:r w:rsidR="004C1F3F">
        <w:rPr>
          <w:rFonts w:ascii="Verdana" w:hAnsi="Verdana"/>
          <w:sz w:val="20"/>
          <w:szCs w:val="20"/>
        </w:rPr>
        <w:t>hr auch Informationen und Bera</w:t>
      </w:r>
      <w:r w:rsidRPr="00AF4E37">
        <w:rPr>
          <w:rFonts w:ascii="Verdana" w:hAnsi="Verdana"/>
          <w:sz w:val="20"/>
          <w:szCs w:val="20"/>
        </w:rPr>
        <w:t>tungsangebote zur Verfügung, die auf eine sachgerechte, bedarfsorientierte und dem inte</w:t>
      </w:r>
      <w:r w:rsidR="004C1F3F">
        <w:rPr>
          <w:rFonts w:ascii="Verdana" w:hAnsi="Verdana"/>
          <w:sz w:val="20"/>
          <w:szCs w:val="20"/>
        </w:rPr>
        <w:t>grierten Pflanzenschutz entspre</w:t>
      </w:r>
      <w:r w:rsidRPr="00AF4E37">
        <w:rPr>
          <w:rFonts w:ascii="Verdana" w:hAnsi="Verdana"/>
          <w:sz w:val="20"/>
          <w:szCs w:val="20"/>
        </w:rPr>
        <w:t>chende Anwendung abzielen“, stellte Rohwer fest. Um diesen Bedürfnissen gerecht zu werden, bedarf es einer</w:t>
      </w:r>
      <w:r w:rsidR="004C1F3F">
        <w:rPr>
          <w:rFonts w:ascii="Verdana" w:hAnsi="Verdana"/>
          <w:sz w:val="20"/>
          <w:szCs w:val="20"/>
        </w:rPr>
        <w:t xml:space="preserve"> gewis</w:t>
      </w:r>
      <w:r w:rsidRPr="00AF4E37">
        <w:rPr>
          <w:rFonts w:ascii="Verdana" w:hAnsi="Verdana"/>
          <w:sz w:val="20"/>
          <w:szCs w:val="20"/>
        </w:rPr>
        <w:t xml:space="preserve">sen Planungssicherheit sowohl beim Handel als auch in der Landwirtschaft. Die wird es </w:t>
      </w:r>
      <w:r w:rsidR="004C1F3F">
        <w:rPr>
          <w:rFonts w:ascii="Verdana" w:hAnsi="Verdana"/>
          <w:sz w:val="20"/>
          <w:szCs w:val="20"/>
        </w:rPr>
        <w:t>nicht mehr geben, sollte die Zu</w:t>
      </w:r>
      <w:r w:rsidRPr="00AF4E37">
        <w:rPr>
          <w:rFonts w:ascii="Verdana" w:hAnsi="Verdana"/>
          <w:sz w:val="20"/>
          <w:szCs w:val="20"/>
        </w:rPr>
        <w:t>lassungspraxis wie derzeit etwa beim Wirk</w:t>
      </w:r>
      <w:r w:rsidR="004C1F3F">
        <w:rPr>
          <w:rFonts w:ascii="Verdana" w:hAnsi="Verdana"/>
          <w:sz w:val="20"/>
          <w:szCs w:val="20"/>
        </w:rPr>
        <w:t xml:space="preserve">stoff Glyphosat oder </w:t>
      </w:r>
      <w:proofErr w:type="spellStart"/>
      <w:r w:rsidR="004C1F3F">
        <w:rPr>
          <w:rFonts w:ascii="Verdana" w:hAnsi="Verdana"/>
          <w:sz w:val="20"/>
          <w:szCs w:val="20"/>
        </w:rPr>
        <w:t>Pirimiphos</w:t>
      </w:r>
      <w:r w:rsidRPr="00AF4E37">
        <w:rPr>
          <w:rFonts w:ascii="Verdana" w:hAnsi="Verdana"/>
          <w:sz w:val="20"/>
          <w:szCs w:val="20"/>
        </w:rPr>
        <w:t>methyl</w:t>
      </w:r>
      <w:proofErr w:type="spellEnd"/>
      <w:r w:rsidRPr="00AF4E37">
        <w:rPr>
          <w:rFonts w:ascii="Verdana" w:hAnsi="Verdana"/>
          <w:sz w:val="20"/>
          <w:szCs w:val="20"/>
        </w:rPr>
        <w:t xml:space="preserve"> (W</w:t>
      </w:r>
      <w:r w:rsidR="004C1F3F">
        <w:rPr>
          <w:rFonts w:ascii="Verdana" w:hAnsi="Verdana"/>
          <w:sz w:val="20"/>
          <w:szCs w:val="20"/>
        </w:rPr>
        <w:t>irkstoff im Vorratsschutz) Schu</w:t>
      </w:r>
      <w:r w:rsidRPr="00AF4E37">
        <w:rPr>
          <w:rFonts w:ascii="Verdana" w:hAnsi="Verdana"/>
          <w:sz w:val="20"/>
          <w:szCs w:val="20"/>
        </w:rPr>
        <w:t xml:space="preserve">le machen. </w:t>
      </w:r>
    </w:p>
    <w:p w:rsidR="004C1F3F" w:rsidRPr="00AF4E37" w:rsidRDefault="004C1F3F" w:rsidP="00AF4E37">
      <w:pPr>
        <w:pStyle w:val="Default"/>
        <w:jc w:val="both"/>
        <w:rPr>
          <w:rFonts w:ascii="Verdana" w:hAnsi="Verdana"/>
          <w:sz w:val="20"/>
          <w:szCs w:val="20"/>
        </w:rPr>
      </w:pPr>
    </w:p>
    <w:p w:rsidR="00AF4E37" w:rsidRPr="00AF4E37" w:rsidRDefault="00AF4E37" w:rsidP="00AF4E37">
      <w:pPr>
        <w:pStyle w:val="Default"/>
        <w:jc w:val="both"/>
        <w:rPr>
          <w:rFonts w:ascii="Verdana" w:hAnsi="Verdana" w:cs="Calibri"/>
          <w:sz w:val="20"/>
          <w:szCs w:val="20"/>
        </w:rPr>
      </w:pPr>
      <w:r w:rsidRPr="00AF4E37">
        <w:rPr>
          <w:rFonts w:ascii="Verdana" w:hAnsi="Verdana" w:cs="Calibri"/>
          <w:b/>
          <w:bCs/>
          <w:sz w:val="20"/>
          <w:szCs w:val="20"/>
        </w:rPr>
        <w:t xml:space="preserve">BVA bekräftigt Nein zur Pflanzenschutzsteuer </w:t>
      </w:r>
    </w:p>
    <w:p w:rsidR="00AF4E37" w:rsidRDefault="00AF4E37" w:rsidP="00AF4E37">
      <w:pPr>
        <w:pStyle w:val="Default"/>
        <w:jc w:val="both"/>
        <w:rPr>
          <w:rFonts w:ascii="Verdana" w:hAnsi="Verdana"/>
          <w:sz w:val="20"/>
          <w:szCs w:val="20"/>
        </w:rPr>
      </w:pPr>
      <w:r w:rsidRPr="00AF4E37">
        <w:rPr>
          <w:rFonts w:ascii="Verdana" w:hAnsi="Verdana"/>
          <w:sz w:val="20"/>
          <w:szCs w:val="20"/>
        </w:rPr>
        <w:t xml:space="preserve">Mit Blick auf jüngste Äußerungen bekräftigt der BVA seine strikte Ablehnung zur Besteuerung von Pflanzenschutzmitteln. Der Einsatz orientiert sich nicht an politischen Vorgaben, sondern agronomischen Erfordernissen. Der Landwirt setzt das Mittel ein, wenn er es anzuwenden hat. Das wird auch eine Steuer nicht ändern. Werden alle gesetzlichen Vorgaben und die für das jeweilige Mittel festgelegten Anwendungsbestimmungen eingehalten, stellen Pflanzenschutzmittel keine Gefahr für die Umwelt dar. Stimmen, die meinen, der Anwender von Pflanzenschutzmitteln müsse die gesellschaftlichen und ökologischen Folgekosten übernehmen, vergessen dabei, dass die konventionelle Landwirtschaft mit ihren Produkten den allergrößten </w:t>
      </w:r>
      <w:r w:rsidR="004C1F3F">
        <w:rPr>
          <w:rFonts w:ascii="Verdana" w:hAnsi="Verdana"/>
          <w:sz w:val="20"/>
          <w:szCs w:val="20"/>
        </w:rPr>
        <w:t>Teil der hiesigen Bevölke</w:t>
      </w:r>
      <w:r w:rsidRPr="00AF4E37">
        <w:rPr>
          <w:rFonts w:ascii="Verdana" w:hAnsi="Verdana"/>
          <w:sz w:val="20"/>
          <w:szCs w:val="20"/>
        </w:rPr>
        <w:t xml:space="preserve">rung ernährt. Und dass mit Lebensmitteln, die noch nie so sicher waren wie heute. Der Anteil konventioneller Produkte am Gesamtlebensmittelumsatz betrug 2015 immerhin 90 %. Kurzum: Will man die Folgekosten beziffern, muss man auch den Nutzen des Pflanzenschutzmittel-Einsatzes wertmäßig dagegenstellen. </w:t>
      </w:r>
    </w:p>
    <w:p w:rsidR="004C1F3F" w:rsidRPr="00AF4E37" w:rsidRDefault="004C1F3F" w:rsidP="00AF4E37">
      <w:pPr>
        <w:pStyle w:val="Default"/>
        <w:jc w:val="both"/>
        <w:rPr>
          <w:rFonts w:ascii="Verdana" w:hAnsi="Verdana"/>
          <w:sz w:val="20"/>
          <w:szCs w:val="20"/>
        </w:rPr>
      </w:pPr>
    </w:p>
    <w:p w:rsidR="00AF4E37" w:rsidRPr="00AF4E37" w:rsidRDefault="00AF4E37" w:rsidP="00AF4E37">
      <w:pPr>
        <w:pStyle w:val="Default"/>
        <w:jc w:val="both"/>
        <w:rPr>
          <w:rFonts w:ascii="Verdana" w:hAnsi="Verdana" w:cs="Calibri"/>
          <w:sz w:val="20"/>
          <w:szCs w:val="20"/>
        </w:rPr>
      </w:pPr>
      <w:r w:rsidRPr="00AF4E37">
        <w:rPr>
          <w:rFonts w:ascii="Verdana" w:hAnsi="Verdana" w:cs="Calibri"/>
          <w:b/>
          <w:bCs/>
          <w:sz w:val="20"/>
          <w:szCs w:val="20"/>
        </w:rPr>
        <w:t xml:space="preserve">Düngemittelgeschäft rückläufig </w:t>
      </w:r>
    </w:p>
    <w:p w:rsidR="00AF4E37" w:rsidRPr="00AF4E37" w:rsidRDefault="00AF4E37" w:rsidP="00AF4E37">
      <w:pPr>
        <w:pStyle w:val="Default"/>
        <w:jc w:val="both"/>
        <w:rPr>
          <w:rFonts w:ascii="Verdana" w:hAnsi="Verdana"/>
          <w:sz w:val="20"/>
          <w:szCs w:val="20"/>
        </w:rPr>
      </w:pPr>
      <w:r w:rsidRPr="00AF4E37">
        <w:rPr>
          <w:rFonts w:ascii="Verdana" w:hAnsi="Verdana"/>
          <w:sz w:val="20"/>
          <w:szCs w:val="20"/>
        </w:rPr>
        <w:t xml:space="preserve">Die niedrigen Erzeugerpreise wirken sich auch auf das Düngergeschäft des Agrarhandels aus. Landwirte versuchen Kosten zu senken. Die Absatzzahlen fast aller mineralischen Dünger liegen in diesem Wirtschaftsjahr unter denen des Vorjahres. </w:t>
      </w:r>
    </w:p>
    <w:p w:rsidR="00AF4E37" w:rsidRDefault="00AF4E37" w:rsidP="00AF4E37">
      <w:pPr>
        <w:pStyle w:val="Default"/>
        <w:jc w:val="both"/>
        <w:rPr>
          <w:rFonts w:ascii="Verdana" w:hAnsi="Verdana"/>
          <w:sz w:val="20"/>
          <w:szCs w:val="20"/>
        </w:rPr>
      </w:pPr>
      <w:r w:rsidRPr="00AF4E37">
        <w:rPr>
          <w:rFonts w:ascii="Verdana" w:hAnsi="Verdana"/>
          <w:sz w:val="20"/>
          <w:szCs w:val="20"/>
        </w:rPr>
        <w:t>Für die Zukunft rechnet der BVA mit einem weiter sinkenden Mineraldüngergeschäft, v.a. auch bedingt durch die Dünge-Verordnung, die wahrscheinlich noch 2016 in Kraft t</w:t>
      </w:r>
      <w:r w:rsidR="004C1F3F">
        <w:rPr>
          <w:rFonts w:ascii="Verdana" w:hAnsi="Verdana"/>
          <w:sz w:val="20"/>
          <w:szCs w:val="20"/>
        </w:rPr>
        <w:t>reten wird. Die ge</w:t>
      </w:r>
      <w:r w:rsidRPr="00AF4E37">
        <w:rPr>
          <w:rFonts w:ascii="Verdana" w:hAnsi="Verdana"/>
          <w:sz w:val="20"/>
          <w:szCs w:val="20"/>
        </w:rPr>
        <w:t>zielte Versorgung der Pflanzen mit organischen Wirtschaftsdüng</w:t>
      </w:r>
      <w:r w:rsidR="004C1F3F">
        <w:rPr>
          <w:rFonts w:ascii="Verdana" w:hAnsi="Verdana"/>
          <w:sz w:val="20"/>
          <w:szCs w:val="20"/>
        </w:rPr>
        <w:t>ern, wie Gülle, Mist und Gärres</w:t>
      </w:r>
      <w:r w:rsidRPr="00AF4E37">
        <w:rPr>
          <w:rFonts w:ascii="Verdana" w:hAnsi="Verdana"/>
          <w:sz w:val="20"/>
          <w:szCs w:val="20"/>
        </w:rPr>
        <w:t xml:space="preserve">ten aus Biogasanlagen wird dagegen an Bedeutung gewinnen. Der BVA geht davon aus, dass bei den ergänzenden mineralischen Düngergaben Landwirte zunehmend individuelle Mischungen nachfragen. </w:t>
      </w:r>
    </w:p>
    <w:p w:rsidR="004C1F3F" w:rsidRPr="00AF4E37" w:rsidRDefault="004C1F3F" w:rsidP="00AF4E37">
      <w:pPr>
        <w:pStyle w:val="Default"/>
        <w:jc w:val="both"/>
        <w:rPr>
          <w:rFonts w:ascii="Verdana" w:hAnsi="Verdana"/>
          <w:sz w:val="20"/>
          <w:szCs w:val="20"/>
        </w:rPr>
      </w:pPr>
    </w:p>
    <w:p w:rsidR="00AF4E37" w:rsidRPr="00AF4E37" w:rsidRDefault="00AF4E37" w:rsidP="00AF4E37">
      <w:pPr>
        <w:pStyle w:val="Default"/>
        <w:jc w:val="both"/>
        <w:rPr>
          <w:rFonts w:ascii="Verdana" w:hAnsi="Verdana" w:cs="Calibri"/>
          <w:sz w:val="20"/>
          <w:szCs w:val="20"/>
        </w:rPr>
      </w:pPr>
      <w:r w:rsidRPr="00AF4E37">
        <w:rPr>
          <w:rFonts w:ascii="Verdana" w:hAnsi="Verdana" w:cs="Calibri"/>
          <w:b/>
          <w:bCs/>
          <w:sz w:val="20"/>
          <w:szCs w:val="20"/>
        </w:rPr>
        <w:t>EU-</w:t>
      </w:r>
      <w:proofErr w:type="spellStart"/>
      <w:r w:rsidRPr="00AF4E37">
        <w:rPr>
          <w:rFonts w:ascii="Verdana" w:hAnsi="Verdana" w:cs="Calibri"/>
          <w:b/>
          <w:bCs/>
          <w:sz w:val="20"/>
          <w:szCs w:val="20"/>
        </w:rPr>
        <w:t>DüngemittelVO</w:t>
      </w:r>
      <w:proofErr w:type="spellEnd"/>
      <w:r w:rsidRPr="00AF4E37">
        <w:rPr>
          <w:rFonts w:ascii="Verdana" w:hAnsi="Verdana" w:cs="Calibri"/>
          <w:b/>
          <w:bCs/>
          <w:sz w:val="20"/>
          <w:szCs w:val="20"/>
        </w:rPr>
        <w:t xml:space="preserve"> kritisch zu bewerten </w:t>
      </w:r>
    </w:p>
    <w:p w:rsidR="00AF4E37" w:rsidRPr="00AF4E37" w:rsidRDefault="00AF4E37" w:rsidP="00AF4E37">
      <w:pPr>
        <w:pStyle w:val="Default"/>
        <w:jc w:val="both"/>
        <w:rPr>
          <w:rFonts w:ascii="Verdana" w:hAnsi="Verdana"/>
          <w:sz w:val="20"/>
          <w:szCs w:val="20"/>
        </w:rPr>
      </w:pPr>
      <w:r w:rsidRPr="00AF4E37">
        <w:rPr>
          <w:rFonts w:ascii="Verdana" w:hAnsi="Verdana"/>
          <w:sz w:val="20"/>
          <w:szCs w:val="20"/>
        </w:rPr>
        <w:t>Mit einer komplett überarbeiteten EU-Düngemittel-Verordnung</w:t>
      </w:r>
      <w:r w:rsidR="004C1F3F">
        <w:rPr>
          <w:rFonts w:ascii="Verdana" w:hAnsi="Verdana"/>
          <w:sz w:val="20"/>
          <w:szCs w:val="20"/>
        </w:rPr>
        <w:t xml:space="preserve"> will die EU-Kommission die Ver</w:t>
      </w:r>
      <w:r w:rsidRPr="00AF4E37">
        <w:rPr>
          <w:rFonts w:ascii="Verdana" w:hAnsi="Verdana"/>
          <w:sz w:val="20"/>
          <w:szCs w:val="20"/>
        </w:rPr>
        <w:t>wendung organischer Abfälle als Düngemittel erleichtern und sie nichtorganischen Düngemitteln wettbewerbsrechtlich gleichstellen. Der BVA geht davon au</w:t>
      </w:r>
      <w:r w:rsidR="004C1F3F">
        <w:rPr>
          <w:rFonts w:ascii="Verdana" w:hAnsi="Verdana"/>
          <w:sz w:val="20"/>
          <w:szCs w:val="20"/>
        </w:rPr>
        <w:t>s, dass durch die neue EU-Dünge</w:t>
      </w:r>
      <w:r w:rsidRPr="00AF4E37">
        <w:rPr>
          <w:rFonts w:ascii="Verdana" w:hAnsi="Verdana"/>
          <w:sz w:val="20"/>
          <w:szCs w:val="20"/>
        </w:rPr>
        <w:t>mittelverordnung mit einer deutlichen Zunahme von organischen Düngemitteln zu rechnen ist. Vor allem die Betrachtung möglicher Düngemittel aus organischen Reststoffen darf sich nicht nur auf den Gedanken der Kreislaufwirtschaft und die Versorgung m</w:t>
      </w:r>
      <w:r w:rsidR="004C1F3F">
        <w:rPr>
          <w:rFonts w:ascii="Verdana" w:hAnsi="Verdana"/>
          <w:sz w:val="20"/>
          <w:szCs w:val="20"/>
        </w:rPr>
        <w:t>it Nährstoffen aus eigenen Quel</w:t>
      </w:r>
      <w:r w:rsidRPr="00AF4E37">
        <w:rPr>
          <w:rFonts w:ascii="Verdana" w:hAnsi="Verdana"/>
          <w:sz w:val="20"/>
          <w:szCs w:val="20"/>
        </w:rPr>
        <w:t xml:space="preserve">len reduzieren lassen. </w:t>
      </w:r>
    </w:p>
    <w:p w:rsidR="00AF4E37" w:rsidRDefault="00AF4E37" w:rsidP="00AF4E37">
      <w:pPr>
        <w:ind w:right="-60"/>
        <w:jc w:val="both"/>
        <w:rPr>
          <w:rFonts w:ascii="Verdana" w:hAnsi="Verdana"/>
          <w:sz w:val="20"/>
          <w:szCs w:val="20"/>
        </w:rPr>
      </w:pPr>
      <w:r w:rsidRPr="00AF4E37">
        <w:rPr>
          <w:rFonts w:ascii="Verdana" w:hAnsi="Verdana"/>
          <w:sz w:val="20"/>
          <w:szCs w:val="20"/>
        </w:rPr>
        <w:t>Bei so genannten Siedlungsabfällen wie Klärschlamm oder Bio-Abfall-Kompost kann das Risiko nicht ausgeschlossen werden, dass Reste von Haushaltschemik</w:t>
      </w:r>
      <w:r w:rsidR="004C1F3F">
        <w:rPr>
          <w:rFonts w:ascii="Verdana" w:hAnsi="Verdana"/>
          <w:sz w:val="20"/>
          <w:szCs w:val="20"/>
        </w:rPr>
        <w:t>alien, Arzneimitteln oder hormo</w:t>
      </w:r>
      <w:r w:rsidRPr="00AF4E37">
        <w:rPr>
          <w:rFonts w:ascii="Verdana" w:hAnsi="Verdana"/>
          <w:sz w:val="20"/>
          <w:szCs w:val="20"/>
        </w:rPr>
        <w:t>nell wirkende Substanzen (z. B. Anti-Baby-Pille) das Substrat</w:t>
      </w:r>
      <w:r w:rsidR="004C1F3F">
        <w:rPr>
          <w:rFonts w:ascii="Verdana" w:hAnsi="Verdana"/>
          <w:sz w:val="20"/>
          <w:szCs w:val="20"/>
        </w:rPr>
        <w:t xml:space="preserve"> belasten und durch die Ausbrin</w:t>
      </w:r>
      <w:r w:rsidRPr="00AF4E37">
        <w:rPr>
          <w:rFonts w:ascii="Verdana" w:hAnsi="Verdana"/>
          <w:sz w:val="20"/>
          <w:szCs w:val="20"/>
        </w:rPr>
        <w:t>gung ungewollt in das Ökosystem Acker und schließlich in den Nahrungskreislauf des Menschen gelangen.</w:t>
      </w:r>
    </w:p>
    <w:p w:rsidR="00AF4E37" w:rsidRDefault="00AF4E37" w:rsidP="00AF4E37">
      <w:pPr>
        <w:ind w:right="-60"/>
        <w:jc w:val="both"/>
        <w:rPr>
          <w:rFonts w:ascii="Verdana" w:hAnsi="Verdana"/>
          <w:sz w:val="20"/>
          <w:szCs w:val="20"/>
        </w:rPr>
      </w:pPr>
      <w:r>
        <w:rPr>
          <w:rFonts w:ascii="Verdana" w:hAnsi="Verdana"/>
          <w:sz w:val="20"/>
          <w:szCs w:val="20"/>
        </w:rPr>
        <w:t>Ausführliche Infos über die Pressekonferenz finden Sie in den Anlagen.</w:t>
      </w:r>
    </w:p>
    <w:p w:rsidR="00AF4E37" w:rsidRDefault="00AF4E37" w:rsidP="00AF4E37">
      <w:pPr>
        <w:ind w:right="-60"/>
        <w:jc w:val="both"/>
        <w:rPr>
          <w:rFonts w:ascii="Verdana" w:hAnsi="Verdana"/>
          <w:sz w:val="20"/>
          <w:szCs w:val="20"/>
        </w:rPr>
      </w:pPr>
    </w:p>
    <w:p w:rsidR="00AF4E37" w:rsidRDefault="00AF4E37" w:rsidP="00AF4E37">
      <w:pPr>
        <w:ind w:right="-60"/>
        <w:jc w:val="both"/>
        <w:rPr>
          <w:rFonts w:ascii="Verdana" w:hAnsi="Verdana"/>
          <w:sz w:val="20"/>
          <w:szCs w:val="20"/>
        </w:rPr>
      </w:pPr>
    </w:p>
    <w:p w:rsidR="00AF4E37" w:rsidRDefault="00AF4E37" w:rsidP="00AF4E37">
      <w:pPr>
        <w:pStyle w:val="Default"/>
        <w:jc w:val="both"/>
        <w:rPr>
          <w:rFonts w:ascii="Verdana" w:hAnsi="Verdana"/>
          <w:b/>
          <w:color w:val="104815"/>
          <w:sz w:val="22"/>
          <w:szCs w:val="22"/>
        </w:rPr>
      </w:pPr>
      <w:r>
        <w:rPr>
          <w:rFonts w:ascii="Verdana" w:hAnsi="Verdana"/>
          <w:b/>
          <w:color w:val="104815"/>
          <w:sz w:val="22"/>
          <w:szCs w:val="22"/>
        </w:rPr>
        <w:t>1.5</w:t>
      </w:r>
      <w:r w:rsidRPr="006F535C">
        <w:rPr>
          <w:rFonts w:ascii="Verdana" w:hAnsi="Verdana"/>
          <w:b/>
          <w:color w:val="104815"/>
          <w:sz w:val="22"/>
          <w:szCs w:val="22"/>
        </w:rPr>
        <w:t xml:space="preserve">. </w:t>
      </w:r>
      <w:r>
        <w:rPr>
          <w:rFonts w:ascii="Verdana" w:hAnsi="Verdana"/>
          <w:b/>
          <w:color w:val="104815"/>
          <w:sz w:val="22"/>
          <w:szCs w:val="22"/>
        </w:rPr>
        <w:t>Verbände: DVT und DRV rücken näher zusammen</w:t>
      </w:r>
    </w:p>
    <w:p w:rsidR="000912CE" w:rsidRPr="000912CE" w:rsidRDefault="000912CE" w:rsidP="000912CE">
      <w:pPr>
        <w:spacing w:line="240" w:lineRule="atLeast"/>
        <w:jc w:val="both"/>
        <w:rPr>
          <w:rFonts w:ascii="Verdana" w:hAnsi="Verdana" w:cs="Helvetica"/>
          <w:sz w:val="20"/>
          <w:szCs w:val="20"/>
        </w:rPr>
      </w:pPr>
      <w:r w:rsidRPr="000912CE">
        <w:rPr>
          <w:rFonts w:ascii="Verdana" w:hAnsi="Verdana" w:cs="Helvetica"/>
          <w:sz w:val="20"/>
          <w:szCs w:val="20"/>
        </w:rPr>
        <w:t xml:space="preserve">Der Deutsche Verband Tiernahrung e. V. (DVT) und der Deutsche Raiffeisenverband e. V. (DRV) vereinbaren eine enge Zusammenarbeit im Arbeitsbereich der Futterwirtschaft. Die Verbände stärken damit die Interessenvertretung für ihre Mitgliedsunternehmen und </w:t>
      </w:r>
      <w:r w:rsidRPr="000912CE">
        <w:rPr>
          <w:rFonts w:ascii="Verdana" w:hAnsi="Verdana" w:cs="Helvetica"/>
          <w:sz w:val="20"/>
          <w:szCs w:val="20"/>
        </w:rPr>
        <w:lastRenderedPageBreak/>
        <w:t>bündeln gemeinsame Arbeitsfelder sowie fachliche Aufgaben in Ausschüssen. Die Bündelung der Kräfte haben die Spitzengremien beider Verbände in der vergangenen Woche beschlossen. Die Vereinbarung tritt mit sofortiger Wirkung in Kraft.</w:t>
      </w:r>
    </w:p>
    <w:p w:rsidR="000912CE" w:rsidRPr="000912CE" w:rsidRDefault="000912CE" w:rsidP="000912CE">
      <w:pPr>
        <w:spacing w:line="240" w:lineRule="atLeast"/>
        <w:jc w:val="both"/>
        <w:rPr>
          <w:rFonts w:ascii="Verdana" w:hAnsi="Verdana" w:cs="Helvetica"/>
          <w:sz w:val="20"/>
          <w:szCs w:val="20"/>
        </w:rPr>
      </w:pPr>
      <w:r w:rsidRPr="000912CE">
        <w:rPr>
          <w:rFonts w:ascii="Verdana" w:hAnsi="Verdana" w:cs="Helvetica"/>
          <w:sz w:val="20"/>
          <w:szCs w:val="20"/>
        </w:rPr>
        <w:t>„Die vereinbarte Kooperation wird den Unternehmen der gesamten Futterwirtschaft in Deutschland angesichts der zahlreichen Herausforderungen Vorteile und Synergien bringen,“ unterstreicht DRV-Präsident Manfred Nüssel die strategische Bedeutung.</w:t>
      </w:r>
    </w:p>
    <w:p w:rsidR="000912CE" w:rsidRPr="000912CE" w:rsidRDefault="000912CE" w:rsidP="000912CE">
      <w:pPr>
        <w:spacing w:line="240" w:lineRule="atLeast"/>
        <w:jc w:val="both"/>
        <w:rPr>
          <w:rFonts w:ascii="Verdana" w:hAnsi="Verdana" w:cs="Helvetica"/>
          <w:sz w:val="20"/>
          <w:szCs w:val="20"/>
        </w:rPr>
      </w:pPr>
      <w:r w:rsidRPr="000912CE">
        <w:rPr>
          <w:rFonts w:ascii="Verdana" w:hAnsi="Verdana" w:cs="Helvetica"/>
          <w:sz w:val="20"/>
          <w:szCs w:val="20"/>
        </w:rPr>
        <w:t xml:space="preserve">Bereits seit geraumer Zeit haben sich beide Verbände in vielen Fachthemen miteinander abgestimmt und weitgehend einheitliche Positionen vertreten. DVT-Präsident Jan </w:t>
      </w:r>
      <w:proofErr w:type="spellStart"/>
      <w:r w:rsidRPr="000912CE">
        <w:rPr>
          <w:rFonts w:ascii="Verdana" w:hAnsi="Verdana" w:cs="Helvetica"/>
          <w:sz w:val="20"/>
          <w:szCs w:val="20"/>
        </w:rPr>
        <w:t>Lahde</w:t>
      </w:r>
      <w:proofErr w:type="spellEnd"/>
      <w:r w:rsidRPr="000912CE">
        <w:rPr>
          <w:rFonts w:ascii="Verdana" w:hAnsi="Verdana" w:cs="Helvetica"/>
          <w:sz w:val="20"/>
          <w:szCs w:val="20"/>
        </w:rPr>
        <w:t xml:space="preserve"> betont: „Das ist eine gute Basis für den Erfolg dieser engeren Kooperation. Denn wir brauchen eine starke, einheitliche Stimme für die Hersteller von Tiernahrung gegenüber Politik und Gesellschaft.“</w:t>
      </w:r>
    </w:p>
    <w:p w:rsidR="000912CE" w:rsidRPr="000912CE" w:rsidRDefault="000912CE" w:rsidP="000912CE">
      <w:pPr>
        <w:spacing w:line="240" w:lineRule="atLeast"/>
        <w:jc w:val="both"/>
        <w:rPr>
          <w:rFonts w:ascii="Verdana" w:hAnsi="Verdana" w:cs="Helvetica"/>
          <w:sz w:val="20"/>
          <w:szCs w:val="20"/>
        </w:rPr>
      </w:pPr>
      <w:r w:rsidRPr="000912CE">
        <w:rPr>
          <w:rFonts w:ascii="Verdana" w:hAnsi="Verdana" w:cs="Helvetica"/>
          <w:sz w:val="20"/>
          <w:szCs w:val="20"/>
        </w:rPr>
        <w:t>Bislang vertritt der DVT rund 80 Prozent aller Unternehmen in der Futterwirtschaft von Herstellern für Vormischungen und Futterzusatzstoffen bis zu Mischfutterherstellern, davon zum überwiegenden Teil privatwirtschaftliche, aber auch genossenschaftliche Unternehmen. Im DRV sind die in der Futtermittelwirtschaft aktiven Haupt- und Primärgenossenschaften organisiert.</w:t>
      </w:r>
    </w:p>
    <w:p w:rsidR="000912CE" w:rsidRPr="000912CE" w:rsidRDefault="000912CE" w:rsidP="000912CE">
      <w:pPr>
        <w:spacing w:line="240" w:lineRule="atLeast"/>
        <w:jc w:val="both"/>
        <w:rPr>
          <w:rFonts w:ascii="Verdana" w:hAnsi="Verdana" w:cs="Helvetica"/>
          <w:sz w:val="20"/>
          <w:szCs w:val="20"/>
        </w:rPr>
      </w:pPr>
      <w:r w:rsidRPr="000912CE">
        <w:rPr>
          <w:rFonts w:ascii="Verdana" w:hAnsi="Verdana" w:cs="Helvetica"/>
          <w:sz w:val="20"/>
          <w:szCs w:val="20"/>
        </w:rPr>
        <w:t xml:space="preserve">Ziel ist es, Doppelarbeit zu vermeiden und den jeweiligen Mitgliedern einen größtmöglichen Nutzen zu bieten. Dies geschieht unter anderem durch die Beratung in wirtschaftlichen und fachlichen Fragen. Aber vor allem die Interessenvertretung der Futtermittelbranche entlang der Wertschöpfungskette wird weiter gestärkt. </w:t>
      </w:r>
      <w:r>
        <w:rPr>
          <w:rFonts w:ascii="Verdana" w:hAnsi="Verdana" w:cs="Helvetica"/>
          <w:sz w:val="20"/>
          <w:szCs w:val="20"/>
        </w:rPr>
        <w:t>(</w:t>
      </w:r>
      <w:proofErr w:type="spellStart"/>
      <w:r w:rsidRPr="000912CE">
        <w:rPr>
          <w:rFonts w:ascii="Verdana" w:hAnsi="Verdana" w:cs="Helvetica"/>
          <w:i/>
          <w:iCs/>
          <w:sz w:val="20"/>
          <w:szCs w:val="20"/>
        </w:rPr>
        <w:t>agt</w:t>
      </w:r>
      <w:proofErr w:type="spellEnd"/>
      <w:r w:rsidRPr="000912CE">
        <w:rPr>
          <w:rFonts w:ascii="Verdana" w:hAnsi="Verdana" w:cs="Helvetica"/>
          <w:sz w:val="20"/>
          <w:szCs w:val="20"/>
        </w:rPr>
        <w:t xml:space="preserve"> </w:t>
      </w:r>
      <w:r>
        <w:rPr>
          <w:rFonts w:ascii="Verdana" w:hAnsi="Verdana" w:cs="Helvetica"/>
          <w:sz w:val="20"/>
          <w:szCs w:val="20"/>
        </w:rPr>
        <w:t>)</w:t>
      </w:r>
    </w:p>
    <w:p w:rsidR="00AF4E37" w:rsidRPr="00AF4E37" w:rsidRDefault="00AF4E37" w:rsidP="00AF4E37">
      <w:pPr>
        <w:ind w:right="-60"/>
        <w:jc w:val="both"/>
        <w:rPr>
          <w:rFonts w:ascii="Verdana" w:hAnsi="Verdana" w:cs="Arial"/>
          <w:sz w:val="20"/>
          <w:szCs w:val="20"/>
        </w:rPr>
      </w:pPr>
    </w:p>
    <w:p w:rsidR="006246AA" w:rsidRPr="00C33F45" w:rsidRDefault="006246AA" w:rsidP="00C33F45">
      <w:pPr>
        <w:ind w:right="-60"/>
        <w:jc w:val="both"/>
        <w:rPr>
          <w:rFonts w:ascii="Verdana" w:hAnsi="Verdana" w:cs="Arial"/>
          <w:sz w:val="20"/>
          <w:szCs w:val="20"/>
        </w:rPr>
      </w:pPr>
    </w:p>
    <w:p w:rsidR="00CD0C4B" w:rsidRPr="006246AA" w:rsidRDefault="00B74CB0" w:rsidP="00C33F45">
      <w:pPr>
        <w:ind w:right="-60"/>
        <w:jc w:val="both"/>
        <w:rPr>
          <w:rFonts w:ascii="Verdana" w:hAnsi="Verdana" w:cs="Arial"/>
          <w:b/>
          <w:color w:val="104815"/>
          <w:sz w:val="28"/>
          <w:szCs w:val="28"/>
          <w:u w:val="single"/>
        </w:rPr>
      </w:pPr>
      <w:r w:rsidRPr="006246AA">
        <w:rPr>
          <w:rFonts w:ascii="Verdana" w:hAnsi="Verdana" w:cs="Arial"/>
          <w:b/>
          <w:color w:val="104815"/>
          <w:sz w:val="28"/>
          <w:szCs w:val="28"/>
          <w:u w:val="single"/>
        </w:rPr>
        <w:t xml:space="preserve">2. </w:t>
      </w:r>
      <w:r w:rsidR="00B30A2D">
        <w:rPr>
          <w:rFonts w:ascii="Verdana" w:hAnsi="Verdana" w:cs="Arial"/>
          <w:b/>
          <w:color w:val="104815"/>
          <w:sz w:val="28"/>
          <w:szCs w:val="28"/>
          <w:u w:val="single"/>
        </w:rPr>
        <w:t>Agrarwirtschaft</w:t>
      </w:r>
    </w:p>
    <w:p w:rsidR="00B30A2D" w:rsidRDefault="00A11337" w:rsidP="000912CE">
      <w:pPr>
        <w:ind w:right="72"/>
        <w:jc w:val="both"/>
        <w:rPr>
          <w:rFonts w:ascii="Verdana" w:hAnsi="Verdana" w:cs="Arial"/>
          <w:b/>
          <w:color w:val="104815"/>
          <w:sz w:val="22"/>
          <w:szCs w:val="22"/>
        </w:rPr>
      </w:pPr>
      <w:r w:rsidRPr="006246AA">
        <w:rPr>
          <w:rFonts w:ascii="Verdana" w:hAnsi="Verdana" w:cs="Arial"/>
          <w:b/>
          <w:color w:val="104815"/>
          <w:sz w:val="22"/>
          <w:szCs w:val="22"/>
        </w:rPr>
        <w:t xml:space="preserve">2.1. </w:t>
      </w:r>
      <w:r w:rsidR="000912CE">
        <w:rPr>
          <w:rFonts w:ascii="Verdana" w:hAnsi="Verdana" w:cs="Arial"/>
          <w:b/>
          <w:color w:val="104815"/>
          <w:sz w:val="22"/>
          <w:szCs w:val="22"/>
        </w:rPr>
        <w:t>DBV-Konjunkturbarometer:</w:t>
      </w:r>
    </w:p>
    <w:p w:rsidR="000912CE" w:rsidRPr="006246AA" w:rsidRDefault="000912CE" w:rsidP="000912CE">
      <w:pPr>
        <w:ind w:right="72"/>
        <w:jc w:val="both"/>
        <w:rPr>
          <w:rFonts w:ascii="Verdana" w:hAnsi="Verdana" w:cs="Arial"/>
          <w:b/>
          <w:color w:val="104815"/>
          <w:sz w:val="22"/>
          <w:szCs w:val="22"/>
        </w:rPr>
      </w:pPr>
      <w:r>
        <w:rPr>
          <w:rFonts w:ascii="Verdana" w:hAnsi="Verdana" w:cs="Arial"/>
          <w:b/>
          <w:color w:val="104815"/>
          <w:sz w:val="22"/>
          <w:szCs w:val="22"/>
        </w:rPr>
        <w:t>Stimmungslage in der Landwirtschaft weiter gesunken</w:t>
      </w:r>
    </w:p>
    <w:p w:rsidR="008134D5" w:rsidRDefault="000912CE" w:rsidP="00C33F45">
      <w:pPr>
        <w:ind w:right="120"/>
        <w:jc w:val="both"/>
        <w:rPr>
          <w:rFonts w:ascii="Verdana" w:hAnsi="Verdana"/>
          <w:sz w:val="20"/>
          <w:szCs w:val="20"/>
        </w:rPr>
      </w:pPr>
      <w:r w:rsidRPr="000912CE">
        <w:rPr>
          <w:rFonts w:ascii="Verdana" w:hAnsi="Verdana"/>
          <w:sz w:val="20"/>
          <w:szCs w:val="20"/>
        </w:rPr>
        <w:t>Die Ergebnisse des Konjunkturbarometer Agrar des Deutschen Bauernverbandes (DBV) zeigen für März 2016 eine weiter verschlechterte wirtschaftliche Stim</w:t>
      </w:r>
      <w:r w:rsidR="004C1F3F">
        <w:rPr>
          <w:rFonts w:ascii="Verdana" w:hAnsi="Verdana"/>
          <w:sz w:val="20"/>
          <w:szCs w:val="20"/>
        </w:rPr>
        <w:t>mungslage in der deutschen Land</w:t>
      </w:r>
      <w:r w:rsidRPr="000912CE">
        <w:rPr>
          <w:rFonts w:ascii="Verdana" w:hAnsi="Verdana"/>
          <w:sz w:val="20"/>
          <w:szCs w:val="20"/>
        </w:rPr>
        <w:t xml:space="preserve">wirtschaft. Eine angespannte Liquiditätslage in vielen Betrieben </w:t>
      </w:r>
      <w:r w:rsidR="004C1F3F">
        <w:rPr>
          <w:rFonts w:ascii="Verdana" w:hAnsi="Verdana"/>
          <w:sz w:val="20"/>
          <w:szCs w:val="20"/>
        </w:rPr>
        <w:t>führt zu einem drastischen Rück</w:t>
      </w:r>
      <w:r w:rsidRPr="000912CE">
        <w:rPr>
          <w:rFonts w:ascii="Verdana" w:hAnsi="Verdana"/>
          <w:sz w:val="20"/>
          <w:szCs w:val="20"/>
        </w:rPr>
        <w:t>gang der Investitionsbereitschaft. Das für die nächsten sechs M</w:t>
      </w:r>
      <w:r w:rsidR="004C1F3F">
        <w:rPr>
          <w:rFonts w:ascii="Verdana" w:hAnsi="Verdana"/>
          <w:sz w:val="20"/>
          <w:szCs w:val="20"/>
        </w:rPr>
        <w:t>onate geplante Investitionsvolu</w:t>
      </w:r>
      <w:r w:rsidRPr="000912CE">
        <w:rPr>
          <w:rFonts w:ascii="Verdana" w:hAnsi="Verdana"/>
          <w:sz w:val="20"/>
          <w:szCs w:val="20"/>
        </w:rPr>
        <w:t>men fällt auf 3,7 Mrd. Euro. Gegenüber dem entsprechenden Vorjahreszeitraum sind das 1,4 Mrd. Euro, gegenüber dem Stand von vor zwei Jahren sogar 2,4 Mrd. Euro weniger.</w:t>
      </w:r>
    </w:p>
    <w:p w:rsidR="000912CE" w:rsidRPr="000912CE" w:rsidRDefault="000912CE" w:rsidP="00C33F45">
      <w:pPr>
        <w:ind w:right="120"/>
        <w:jc w:val="both"/>
        <w:rPr>
          <w:rFonts w:ascii="Verdana" w:hAnsi="Verdana"/>
          <w:sz w:val="20"/>
          <w:szCs w:val="20"/>
        </w:rPr>
      </w:pPr>
    </w:p>
    <w:p w:rsidR="000912CE" w:rsidRDefault="000912CE" w:rsidP="00C33F45">
      <w:pPr>
        <w:ind w:right="120"/>
        <w:jc w:val="both"/>
        <w:rPr>
          <w:rFonts w:ascii="Verdana" w:hAnsi="Verdana"/>
          <w:sz w:val="20"/>
          <w:szCs w:val="20"/>
        </w:rPr>
      </w:pPr>
      <w:r>
        <w:rPr>
          <w:rFonts w:ascii="Verdana" w:hAnsi="Verdana"/>
          <w:noProof/>
          <w:sz w:val="20"/>
          <w:szCs w:val="20"/>
        </w:rPr>
        <w:drawing>
          <wp:inline distT="0" distB="0" distL="0" distR="0">
            <wp:extent cx="5295569" cy="3661762"/>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9226" cy="3664290"/>
                    </a:xfrm>
                    <a:prstGeom prst="rect">
                      <a:avLst/>
                    </a:prstGeom>
                    <a:noFill/>
                    <a:ln>
                      <a:noFill/>
                    </a:ln>
                  </pic:spPr>
                </pic:pic>
              </a:graphicData>
            </a:graphic>
          </wp:inline>
        </w:drawing>
      </w:r>
    </w:p>
    <w:p w:rsidR="000912CE" w:rsidRPr="000912CE" w:rsidRDefault="000912CE" w:rsidP="000912CE">
      <w:pPr>
        <w:pStyle w:val="Default"/>
        <w:jc w:val="both"/>
        <w:rPr>
          <w:rFonts w:ascii="Verdana" w:hAnsi="Verdana"/>
          <w:sz w:val="20"/>
          <w:szCs w:val="20"/>
        </w:rPr>
      </w:pPr>
      <w:r w:rsidRPr="000912CE">
        <w:rPr>
          <w:rFonts w:ascii="Verdana" w:hAnsi="Verdana"/>
          <w:sz w:val="20"/>
          <w:szCs w:val="20"/>
        </w:rPr>
        <w:lastRenderedPageBreak/>
        <w:t>Nur 23 % der Landwirte wollen in den kommenden sechs Monaten investieren; vor einem Jahr waren es noch 34 %, vor zwei Jahren 36 %. Die Investitionszurüc</w:t>
      </w:r>
      <w:r w:rsidR="004C1F3F">
        <w:rPr>
          <w:rFonts w:ascii="Verdana" w:hAnsi="Verdana"/>
          <w:sz w:val="20"/>
          <w:szCs w:val="20"/>
        </w:rPr>
        <w:t>khaltung betrifft alle Betriebs</w:t>
      </w:r>
      <w:r w:rsidRPr="000912CE">
        <w:rPr>
          <w:rFonts w:ascii="Verdana" w:hAnsi="Verdana"/>
          <w:sz w:val="20"/>
          <w:szCs w:val="20"/>
        </w:rPr>
        <w:t xml:space="preserve">formen. </w:t>
      </w:r>
    </w:p>
    <w:p w:rsidR="000912CE" w:rsidRPr="000912CE" w:rsidRDefault="000912CE" w:rsidP="000912CE">
      <w:pPr>
        <w:pStyle w:val="Default"/>
        <w:jc w:val="both"/>
        <w:rPr>
          <w:rFonts w:ascii="Verdana" w:hAnsi="Verdana"/>
          <w:sz w:val="20"/>
          <w:szCs w:val="20"/>
        </w:rPr>
      </w:pPr>
      <w:r w:rsidRPr="000912CE">
        <w:rPr>
          <w:rFonts w:ascii="Verdana" w:hAnsi="Verdana"/>
          <w:sz w:val="20"/>
          <w:szCs w:val="20"/>
        </w:rPr>
        <w:t>21 % der Landwirte geben an, dass die Liquiditätslage ihrer B</w:t>
      </w:r>
      <w:r w:rsidR="004C1F3F">
        <w:rPr>
          <w:rFonts w:ascii="Verdana" w:hAnsi="Verdana"/>
          <w:sz w:val="20"/>
          <w:szCs w:val="20"/>
        </w:rPr>
        <w:t>etriebe angespannt oder sehr an</w:t>
      </w:r>
      <w:r w:rsidRPr="000912CE">
        <w:rPr>
          <w:rFonts w:ascii="Verdana" w:hAnsi="Verdana"/>
          <w:sz w:val="20"/>
          <w:szCs w:val="20"/>
        </w:rPr>
        <w:t xml:space="preserve">gespannt ist. Unter den Futterbau- und Veredlungsbetrieben sind es sogar entsprechend 27 %. Gegenüber den vorangegangenen Erhebungen hat sich die Liquidität in den Betrieben deutlich verschlechtert. Noch vor einem Jahr (März 2015) klagten nur 11 %über eine angespannte oder sehr angespannte Liquiditätssituation. </w:t>
      </w:r>
    </w:p>
    <w:p w:rsidR="000912CE" w:rsidRDefault="000912CE" w:rsidP="000912CE">
      <w:pPr>
        <w:ind w:right="120"/>
        <w:jc w:val="both"/>
        <w:rPr>
          <w:rFonts w:ascii="Verdana" w:hAnsi="Verdana"/>
          <w:sz w:val="20"/>
          <w:szCs w:val="20"/>
        </w:rPr>
      </w:pPr>
      <w:r w:rsidRPr="000912CE">
        <w:rPr>
          <w:rFonts w:ascii="Verdana" w:hAnsi="Verdana"/>
          <w:sz w:val="20"/>
          <w:szCs w:val="20"/>
        </w:rPr>
        <w:t>Aktuell ist der Konjunkturindex gegenüber der vorangegangenen Erhebung (Dezember 2015) von 11,8 auf 3,4 Punkte stark zurückgegangen und nähert sich dem Rekordtiefstand aus dem Herbst 2009 an. Von Ende 2010 bis Mitte 2014 lag dieser Wert zwischen</w:t>
      </w:r>
      <w:r w:rsidR="004C1F3F">
        <w:rPr>
          <w:rFonts w:ascii="Verdana" w:hAnsi="Verdana"/>
          <w:sz w:val="20"/>
          <w:szCs w:val="20"/>
        </w:rPr>
        <w:t xml:space="preserve"> 30 und 35 Punkten, in der Spit</w:t>
      </w:r>
      <w:r w:rsidRPr="000912CE">
        <w:rPr>
          <w:rFonts w:ascii="Verdana" w:hAnsi="Verdana"/>
          <w:sz w:val="20"/>
          <w:szCs w:val="20"/>
        </w:rPr>
        <w:t>ze sogar bei 37 Punkten. Der Indexwert fasst die Einschätzung der aktuellen wirtschaftlichen Entwicklung und die Erwartungen an die zukünftige wirtschaftliche Entwicklung zusammen.</w:t>
      </w:r>
    </w:p>
    <w:p w:rsidR="000912CE" w:rsidRDefault="000912CE" w:rsidP="000912CE">
      <w:pPr>
        <w:ind w:right="120"/>
        <w:jc w:val="both"/>
        <w:rPr>
          <w:rFonts w:ascii="Verdana" w:hAnsi="Verdana"/>
          <w:sz w:val="20"/>
          <w:szCs w:val="20"/>
        </w:rPr>
      </w:pPr>
    </w:p>
    <w:p w:rsidR="000912CE" w:rsidRPr="000912CE" w:rsidRDefault="000912CE" w:rsidP="000912CE">
      <w:pPr>
        <w:ind w:right="120"/>
        <w:jc w:val="both"/>
        <w:rPr>
          <w:rFonts w:ascii="Verdana" w:hAnsi="Verdana"/>
          <w:sz w:val="20"/>
          <w:szCs w:val="20"/>
        </w:rPr>
      </w:pPr>
    </w:p>
    <w:p w:rsidR="00664D06" w:rsidRPr="006246AA" w:rsidRDefault="00005DFA" w:rsidP="00C33F45">
      <w:pPr>
        <w:ind w:right="72"/>
        <w:jc w:val="both"/>
        <w:rPr>
          <w:rFonts w:ascii="Verdana" w:hAnsi="Verdana" w:cs="Arial"/>
          <w:b/>
          <w:color w:val="104815"/>
          <w:sz w:val="22"/>
          <w:szCs w:val="22"/>
        </w:rPr>
      </w:pPr>
      <w:r w:rsidRPr="006246AA">
        <w:rPr>
          <w:rFonts w:ascii="Verdana" w:hAnsi="Verdana" w:cs="Arial"/>
          <w:b/>
          <w:color w:val="104815"/>
          <w:sz w:val="22"/>
          <w:szCs w:val="22"/>
        </w:rPr>
        <w:t>2.</w:t>
      </w:r>
      <w:r w:rsidR="00664D06" w:rsidRPr="006246AA">
        <w:rPr>
          <w:rFonts w:ascii="Verdana" w:hAnsi="Verdana" w:cs="Arial"/>
          <w:b/>
          <w:color w:val="104815"/>
          <w:sz w:val="22"/>
          <w:szCs w:val="22"/>
        </w:rPr>
        <w:t xml:space="preserve">2. </w:t>
      </w:r>
      <w:r w:rsidR="000912CE">
        <w:rPr>
          <w:rFonts w:ascii="Verdana" w:hAnsi="Verdana" w:cs="Arial"/>
          <w:b/>
          <w:color w:val="104815"/>
          <w:sz w:val="22"/>
          <w:szCs w:val="22"/>
        </w:rPr>
        <w:t>Fördermittel für den ländlichen Raum</w:t>
      </w:r>
    </w:p>
    <w:p w:rsidR="0092095D" w:rsidRDefault="000912CE" w:rsidP="00C33F45">
      <w:pPr>
        <w:ind w:right="120"/>
        <w:jc w:val="both"/>
        <w:rPr>
          <w:rFonts w:ascii="Verdana" w:hAnsi="Verdana"/>
          <w:sz w:val="20"/>
          <w:szCs w:val="20"/>
        </w:rPr>
      </w:pPr>
      <w:r w:rsidRPr="000912CE">
        <w:rPr>
          <w:rFonts w:ascii="Verdana" w:hAnsi="Verdana"/>
          <w:sz w:val="20"/>
          <w:szCs w:val="20"/>
        </w:rPr>
        <w:t>Die Bundesregierung stellt im Rahmen der Gemeinschaftsaufgabe Agrarstruktur und Küstenschutz (GAK) Fördermittel in Höhe von rund 600 Millionen Euro jährlich zur Verfügung. Zusammen mit den bereitgestellten Mitteln der Bundesländer ergebe das rund eine Milliarde Euro pro Jahr. Mit diesem Geld sollen der Strukturwandel im ländlichen Raum begleitet und negative Auswirkungen abgefedert werden. Das geht aus einer Antwort der Bundesregierung (18/7925) auf eine Kleine Anfrage der Fraktion Bündnis 90/Die Grünen (18/7758) hervor. Weiter heißt es, dass neben der GAK-Förderung in der Förderperiode von 2014 bis 2020 über ac</w:t>
      </w:r>
      <w:r w:rsidR="004C1F3F">
        <w:rPr>
          <w:rFonts w:ascii="Verdana" w:hAnsi="Verdana"/>
          <w:sz w:val="20"/>
          <w:szCs w:val="20"/>
        </w:rPr>
        <w:t>ht Milliarden Euro aus dem Euro</w:t>
      </w:r>
      <w:r w:rsidRPr="000912CE">
        <w:rPr>
          <w:rFonts w:ascii="Verdana" w:hAnsi="Verdana"/>
          <w:sz w:val="20"/>
          <w:szCs w:val="20"/>
        </w:rPr>
        <w:t>päischen Landwirtschaftsfonds für die Entwicklung des ländlichen Raums (ELER) zur Verfügung stehen. Durch Umschichtungen innerhalb des für die Landwirtschaft vorgesehenen Budgets werde sich dieser Betrag um eine Milliarde erhöhen. Zusammen mit den dafür erforderlichen nationalen Mittel zur Mitfinanzierung und zusätzlichen Fördergeldern stünden in der laufenden Förderperiode somit fast 18 Milliarden Euro zur Verfügung.</w:t>
      </w:r>
    </w:p>
    <w:p w:rsidR="000912CE" w:rsidRDefault="000912CE" w:rsidP="00C33F45">
      <w:pPr>
        <w:ind w:right="120"/>
        <w:jc w:val="both"/>
        <w:rPr>
          <w:rFonts w:ascii="Verdana" w:hAnsi="Verdana"/>
          <w:sz w:val="20"/>
          <w:szCs w:val="20"/>
        </w:rPr>
      </w:pPr>
    </w:p>
    <w:p w:rsidR="000912CE" w:rsidRPr="000912CE" w:rsidRDefault="000912CE" w:rsidP="00C33F45">
      <w:pPr>
        <w:ind w:right="120"/>
        <w:jc w:val="both"/>
        <w:rPr>
          <w:rFonts w:ascii="Verdana" w:hAnsi="Verdana"/>
          <w:sz w:val="20"/>
          <w:szCs w:val="20"/>
        </w:rPr>
      </w:pPr>
    </w:p>
    <w:p w:rsidR="00664D06" w:rsidRDefault="00005DFA" w:rsidP="00C33F45">
      <w:pPr>
        <w:ind w:right="72"/>
        <w:jc w:val="both"/>
        <w:rPr>
          <w:rFonts w:ascii="Verdana" w:hAnsi="Verdana" w:cs="Arial"/>
          <w:b/>
          <w:color w:val="104815"/>
          <w:sz w:val="22"/>
          <w:szCs w:val="22"/>
        </w:rPr>
      </w:pPr>
      <w:r w:rsidRPr="006246AA">
        <w:rPr>
          <w:rFonts w:ascii="Verdana" w:hAnsi="Verdana" w:cs="Arial"/>
          <w:b/>
          <w:color w:val="104815"/>
          <w:sz w:val="22"/>
          <w:szCs w:val="22"/>
        </w:rPr>
        <w:t>2.</w:t>
      </w:r>
      <w:r w:rsidR="00664D06" w:rsidRPr="006246AA">
        <w:rPr>
          <w:rFonts w:ascii="Verdana" w:hAnsi="Verdana" w:cs="Arial"/>
          <w:b/>
          <w:color w:val="104815"/>
          <w:sz w:val="22"/>
          <w:szCs w:val="22"/>
        </w:rPr>
        <w:t xml:space="preserve">3. </w:t>
      </w:r>
      <w:r w:rsidR="000912CE">
        <w:rPr>
          <w:rFonts w:ascii="Verdana" w:hAnsi="Verdana" w:cs="Arial"/>
          <w:b/>
          <w:color w:val="104815"/>
          <w:sz w:val="22"/>
          <w:szCs w:val="22"/>
        </w:rPr>
        <w:t>System zur Leistungsmessung der Agrarsubventionen nicht ausreichend</w:t>
      </w:r>
    </w:p>
    <w:p w:rsidR="000912CE" w:rsidRPr="000912CE" w:rsidRDefault="000912CE" w:rsidP="000912CE">
      <w:pPr>
        <w:pStyle w:val="Default"/>
        <w:jc w:val="both"/>
        <w:rPr>
          <w:rFonts w:ascii="Verdana" w:hAnsi="Verdana"/>
          <w:sz w:val="20"/>
          <w:szCs w:val="20"/>
        </w:rPr>
      </w:pPr>
      <w:r w:rsidRPr="000912CE">
        <w:rPr>
          <w:rFonts w:ascii="Verdana" w:hAnsi="Verdana"/>
          <w:sz w:val="20"/>
          <w:szCs w:val="20"/>
        </w:rPr>
        <w:t xml:space="preserve">Im kürzlich veröffentlichten Sonderbericht des Europäischen Rechnungshofes (ERH) geht dieser davon aus, dass das System zur Beurteilung der Frage, wie EU-Maßnahmen im Bereich der Gemeinsamen Agrarpolitik (GAP) zur Stützung der Einkommen von Landwirten beitragen, nicht gut genug konzipiert und nur begrenzt aussagekräftig sei. Es fehlten geeignete Daten, mit denen sich nachweisen ließe, dass die Stützung der Einkommen </w:t>
      </w:r>
      <w:r w:rsidR="004C1F3F">
        <w:rPr>
          <w:rFonts w:ascii="Verdana" w:hAnsi="Verdana"/>
          <w:sz w:val="20"/>
          <w:szCs w:val="20"/>
        </w:rPr>
        <w:t>von Landwirten im Rahmen der Ge</w:t>
      </w:r>
      <w:r w:rsidRPr="000912CE">
        <w:rPr>
          <w:rFonts w:ascii="Verdana" w:hAnsi="Verdana"/>
          <w:sz w:val="20"/>
          <w:szCs w:val="20"/>
        </w:rPr>
        <w:t xml:space="preserve">meinsamen Agrarpolitik auf wirksame und effiziente Weise zur Erreichung der Ziele dieser Politik beitrage. </w:t>
      </w:r>
    </w:p>
    <w:p w:rsidR="000912CE" w:rsidRPr="000912CE" w:rsidRDefault="000912CE" w:rsidP="000912CE">
      <w:pPr>
        <w:pStyle w:val="Default"/>
        <w:jc w:val="both"/>
        <w:rPr>
          <w:rFonts w:ascii="Verdana" w:hAnsi="Verdana"/>
          <w:sz w:val="20"/>
          <w:szCs w:val="20"/>
        </w:rPr>
      </w:pPr>
      <w:r w:rsidRPr="000912CE">
        <w:rPr>
          <w:rFonts w:ascii="Verdana" w:hAnsi="Verdana"/>
          <w:sz w:val="20"/>
          <w:szCs w:val="20"/>
        </w:rPr>
        <w:t>Geprüft wurden neben Deutschland noch Spanien, Frankreich</w:t>
      </w:r>
      <w:r w:rsidR="004C1F3F">
        <w:rPr>
          <w:rFonts w:ascii="Verdana" w:hAnsi="Verdana"/>
          <w:sz w:val="20"/>
          <w:szCs w:val="20"/>
        </w:rPr>
        <w:t>, die Niederlande, Polen und Ru</w:t>
      </w:r>
      <w:r w:rsidRPr="000912CE">
        <w:rPr>
          <w:rFonts w:ascii="Verdana" w:hAnsi="Verdana"/>
          <w:sz w:val="20"/>
          <w:szCs w:val="20"/>
        </w:rPr>
        <w:t xml:space="preserve">mänien, da diese neun Mitgliedstaaten mehr als die Hälfte der Agrarmittel erhalten. Die neuen Vorschriften für die GAP geben vor, dass die Kommission die Auswirkungen von Agrarbeihilfen im Vergleich zu den mit diesen Beihilfen verfolgten Zielen bewerten muss. Der ERH untersuchte daher die Konzeption des Leistungsmessungssystems, das die Kommission in Bezug auf die Einkommen von Landwirten verwendet und ging ebenso der Frage nach, ob die erforderlichen statistischen Daten genau definiert waren und ob ihre Qualität angemessen war. Rund ein Drittel des EU-Haushalts, also 270 Mrd. EUR, werden im Zeitraum 2014 bis 2020 für die direkte oder indirekte Stützung der Einkommen der Landwirte ausgegeben. Die vagen Ziele einiger GAP-Maßnahmen und das Fehlen von Ausgangswerten erschweren </w:t>
      </w:r>
      <w:r w:rsidR="004C1F3F">
        <w:rPr>
          <w:rFonts w:ascii="Verdana" w:hAnsi="Verdana"/>
          <w:sz w:val="20"/>
          <w:szCs w:val="20"/>
        </w:rPr>
        <w:t>die Beurteilung, ob die Zielset</w:t>
      </w:r>
      <w:r w:rsidRPr="000912CE">
        <w:rPr>
          <w:rFonts w:ascii="Verdana" w:hAnsi="Verdana"/>
          <w:sz w:val="20"/>
          <w:szCs w:val="20"/>
        </w:rPr>
        <w:t xml:space="preserve">zungen erreicht werden. </w:t>
      </w:r>
    </w:p>
    <w:p w:rsidR="00EA36CE" w:rsidRDefault="000912CE" w:rsidP="000912CE">
      <w:pPr>
        <w:ind w:right="120"/>
        <w:jc w:val="both"/>
        <w:rPr>
          <w:rFonts w:ascii="Verdana" w:hAnsi="Verdana"/>
          <w:sz w:val="20"/>
          <w:szCs w:val="20"/>
        </w:rPr>
      </w:pPr>
      <w:r w:rsidRPr="000912CE">
        <w:rPr>
          <w:rFonts w:ascii="Verdana" w:hAnsi="Verdana"/>
          <w:sz w:val="20"/>
          <w:szCs w:val="20"/>
        </w:rPr>
        <w:t>Für den neuen Förderraum nach 2020 empfiehlt der ERH, dass die Kommiss</w:t>
      </w:r>
      <w:r w:rsidR="004C1F3F">
        <w:rPr>
          <w:rFonts w:ascii="Verdana" w:hAnsi="Verdana"/>
          <w:sz w:val="20"/>
          <w:szCs w:val="20"/>
        </w:rPr>
        <w:t>ion geeignete ope</w:t>
      </w:r>
      <w:r w:rsidRPr="000912CE">
        <w:rPr>
          <w:rFonts w:ascii="Verdana" w:hAnsi="Verdana"/>
          <w:sz w:val="20"/>
          <w:szCs w:val="20"/>
        </w:rPr>
        <w:t xml:space="preserve">rationelle Ziele und Ausgangswerte definiert, anhand deren die Leistung der GAP-Maßnahmen verglichen werden können und dass der bestehende Rahmen </w:t>
      </w:r>
      <w:r w:rsidR="004C1F3F">
        <w:rPr>
          <w:rFonts w:ascii="Verdana" w:hAnsi="Verdana"/>
          <w:sz w:val="20"/>
          <w:szCs w:val="20"/>
        </w:rPr>
        <w:t>der Leistungsindikatoren für Be</w:t>
      </w:r>
      <w:r w:rsidRPr="000912CE">
        <w:rPr>
          <w:rFonts w:ascii="Verdana" w:hAnsi="Verdana"/>
          <w:sz w:val="20"/>
          <w:szCs w:val="20"/>
        </w:rPr>
        <w:t xml:space="preserve">wertungen um andere relevante und hochwertige Daten zur </w:t>
      </w:r>
      <w:r w:rsidRPr="000912CE">
        <w:rPr>
          <w:rFonts w:ascii="Verdana" w:hAnsi="Verdana"/>
          <w:sz w:val="20"/>
          <w:szCs w:val="20"/>
        </w:rPr>
        <w:lastRenderedPageBreak/>
        <w:t>Messung der erzielten Ergebnisse ergänzt wird. Ebenso solle die Kommission die Wirksamkeit und Effizienz der zur Stützung der Einkommen von Landwirten konzipierten Maßnahmen vorab beurteilen.</w:t>
      </w:r>
    </w:p>
    <w:p w:rsidR="000912CE" w:rsidRDefault="000912CE" w:rsidP="000912CE">
      <w:pPr>
        <w:ind w:right="120"/>
        <w:jc w:val="both"/>
        <w:rPr>
          <w:rFonts w:ascii="Verdana" w:hAnsi="Verdana"/>
          <w:sz w:val="20"/>
          <w:szCs w:val="20"/>
        </w:rPr>
      </w:pPr>
    </w:p>
    <w:p w:rsidR="000912CE" w:rsidRPr="000912CE" w:rsidRDefault="000912CE" w:rsidP="000912CE">
      <w:pPr>
        <w:ind w:right="120"/>
        <w:jc w:val="both"/>
        <w:rPr>
          <w:rFonts w:ascii="Verdana" w:hAnsi="Verdana"/>
          <w:sz w:val="20"/>
          <w:szCs w:val="20"/>
        </w:rPr>
      </w:pPr>
    </w:p>
    <w:p w:rsidR="000912CE" w:rsidRDefault="000912CE" w:rsidP="000912CE">
      <w:pPr>
        <w:ind w:right="72"/>
        <w:jc w:val="both"/>
        <w:rPr>
          <w:rFonts w:ascii="Verdana" w:hAnsi="Verdana" w:cs="Arial"/>
          <w:b/>
          <w:color w:val="104815"/>
          <w:sz w:val="22"/>
          <w:szCs w:val="22"/>
        </w:rPr>
      </w:pPr>
      <w:r w:rsidRPr="006246AA">
        <w:rPr>
          <w:rFonts w:ascii="Verdana" w:hAnsi="Verdana" w:cs="Arial"/>
          <w:b/>
          <w:color w:val="104815"/>
          <w:sz w:val="22"/>
          <w:szCs w:val="22"/>
        </w:rPr>
        <w:t>2.</w:t>
      </w:r>
      <w:r>
        <w:rPr>
          <w:rFonts w:ascii="Verdana" w:hAnsi="Verdana" w:cs="Arial"/>
          <w:b/>
          <w:color w:val="104815"/>
          <w:sz w:val="22"/>
          <w:szCs w:val="22"/>
        </w:rPr>
        <w:t>4</w:t>
      </w:r>
      <w:r w:rsidRPr="006246AA">
        <w:rPr>
          <w:rFonts w:ascii="Verdana" w:hAnsi="Verdana" w:cs="Arial"/>
          <w:b/>
          <w:color w:val="104815"/>
          <w:sz w:val="22"/>
          <w:szCs w:val="22"/>
        </w:rPr>
        <w:t xml:space="preserve">. </w:t>
      </w:r>
      <w:r>
        <w:rPr>
          <w:rFonts w:ascii="Verdana" w:hAnsi="Verdana" w:cs="Arial"/>
          <w:b/>
          <w:color w:val="104815"/>
          <w:sz w:val="22"/>
          <w:szCs w:val="22"/>
        </w:rPr>
        <w:t>Bereinigung Bundesrecht:</w:t>
      </w:r>
    </w:p>
    <w:p w:rsidR="000912CE" w:rsidRDefault="000912CE" w:rsidP="000912CE">
      <w:pPr>
        <w:ind w:right="72"/>
        <w:jc w:val="both"/>
        <w:rPr>
          <w:rFonts w:ascii="Verdana" w:hAnsi="Verdana" w:cs="Arial"/>
          <w:b/>
          <w:color w:val="104815"/>
          <w:sz w:val="22"/>
          <w:szCs w:val="22"/>
        </w:rPr>
      </w:pPr>
      <w:r>
        <w:rPr>
          <w:rFonts w:ascii="Verdana" w:hAnsi="Verdana" w:cs="Arial"/>
          <w:b/>
          <w:color w:val="104815"/>
          <w:sz w:val="22"/>
          <w:szCs w:val="22"/>
        </w:rPr>
        <w:t>Mehr als 20 Regelungen im Agrarbereich endgültig gestrichen</w:t>
      </w:r>
    </w:p>
    <w:p w:rsidR="000912CE" w:rsidRPr="000912CE" w:rsidRDefault="000912CE" w:rsidP="000912CE">
      <w:pPr>
        <w:pStyle w:val="Default"/>
        <w:jc w:val="both"/>
        <w:rPr>
          <w:rFonts w:ascii="Verdana" w:hAnsi="Verdana"/>
          <w:sz w:val="20"/>
          <w:szCs w:val="20"/>
        </w:rPr>
      </w:pPr>
      <w:r w:rsidRPr="000912CE">
        <w:rPr>
          <w:rFonts w:ascii="Verdana" w:hAnsi="Verdana"/>
          <w:sz w:val="20"/>
          <w:szCs w:val="20"/>
        </w:rPr>
        <w:t>Mit der Zustimmung des Bundesrates vergangene Woche zum Zweiten Gesetzentwurf über die weitere Bereinigung von Bundesrecht, fallen allein im Agrarberei</w:t>
      </w:r>
      <w:r w:rsidR="004C1F3F">
        <w:rPr>
          <w:rFonts w:ascii="Verdana" w:hAnsi="Verdana"/>
          <w:sz w:val="20"/>
          <w:szCs w:val="20"/>
        </w:rPr>
        <w:t>ch an die 20 mittlerweile gegen</w:t>
      </w:r>
      <w:r w:rsidRPr="000912CE">
        <w:rPr>
          <w:rFonts w:ascii="Verdana" w:hAnsi="Verdana"/>
          <w:sz w:val="20"/>
          <w:szCs w:val="20"/>
        </w:rPr>
        <w:t>standslos gewordene Regelungen endgültig weg. Insgesamt werden mit dem Gesetz mehr als 120 Vorschriften gestrichen. Nicht mehr benötigt werden beispiels</w:t>
      </w:r>
      <w:r w:rsidR="004C1F3F">
        <w:rPr>
          <w:rFonts w:ascii="Verdana" w:hAnsi="Verdana"/>
          <w:sz w:val="20"/>
          <w:szCs w:val="20"/>
        </w:rPr>
        <w:t>weise die in den Wirtschaftsjah</w:t>
      </w:r>
      <w:r w:rsidRPr="000912CE">
        <w:rPr>
          <w:rFonts w:ascii="Verdana" w:hAnsi="Verdana"/>
          <w:sz w:val="20"/>
          <w:szCs w:val="20"/>
        </w:rPr>
        <w:t xml:space="preserve">ren 1997/98 bis 2004/05 erlassenen Verordnungen über die Saldierung von Grundflächen, da sie mit der Einführung der Betriebsprämienregelung von 2005 überflüssig geworden sind. Dies gilt auch für die Obstbaumrodungsverordnung von 1998, gemäß der sich die Erzeuger verpflichten mussten, bei Inanspruchnahme der Rodungsprämie 15 Jahre keine Apfel-, Birnen, Pfirsich- oder Nektarinenbäume auf den Rodungsflächen anzupflanzen. </w:t>
      </w:r>
    </w:p>
    <w:p w:rsidR="00664D06" w:rsidRPr="000912CE" w:rsidRDefault="000912CE" w:rsidP="000912CE">
      <w:pPr>
        <w:ind w:right="120"/>
        <w:jc w:val="both"/>
        <w:rPr>
          <w:rFonts w:ascii="Verdana" w:hAnsi="Verdana"/>
          <w:sz w:val="20"/>
          <w:szCs w:val="20"/>
        </w:rPr>
      </w:pPr>
      <w:r w:rsidRPr="000912CE">
        <w:rPr>
          <w:rFonts w:ascii="Verdana" w:hAnsi="Verdana"/>
          <w:sz w:val="20"/>
          <w:szCs w:val="20"/>
        </w:rPr>
        <w:t>Überholt hat sich mit der Einführung der neuen Basisprämie</w:t>
      </w:r>
      <w:r w:rsidR="004C1F3F">
        <w:rPr>
          <w:rFonts w:ascii="Verdana" w:hAnsi="Verdana"/>
          <w:sz w:val="20"/>
          <w:szCs w:val="20"/>
        </w:rPr>
        <w:t>nregelung von 2015 zudem die Re</w:t>
      </w:r>
      <w:r w:rsidRPr="000912CE">
        <w:rPr>
          <w:rFonts w:ascii="Verdana" w:hAnsi="Verdana"/>
          <w:sz w:val="20"/>
          <w:szCs w:val="20"/>
        </w:rPr>
        <w:t xml:space="preserve">gelung über die Gleichstellung stillgelegter und landwirtschaftlich genutzter Flächen. Auch einige Verordnungen zur Abgabe von Rindfleisch aus der staatlichen </w:t>
      </w:r>
      <w:r w:rsidR="004C1F3F">
        <w:rPr>
          <w:rFonts w:ascii="Verdana" w:hAnsi="Verdana"/>
          <w:sz w:val="20"/>
          <w:szCs w:val="20"/>
        </w:rPr>
        <w:t>Lagerhaltung sind obsolet gewor</w:t>
      </w:r>
      <w:r w:rsidRPr="000912CE">
        <w:rPr>
          <w:rFonts w:ascii="Verdana" w:hAnsi="Verdana"/>
          <w:sz w:val="20"/>
          <w:szCs w:val="20"/>
        </w:rPr>
        <w:t>den.</w:t>
      </w:r>
    </w:p>
    <w:p w:rsidR="0092095D" w:rsidRDefault="0092095D" w:rsidP="00C33F45">
      <w:pPr>
        <w:ind w:right="120"/>
        <w:jc w:val="both"/>
        <w:rPr>
          <w:rFonts w:ascii="Verdana" w:hAnsi="Verdana"/>
          <w:sz w:val="20"/>
          <w:szCs w:val="20"/>
        </w:rPr>
      </w:pPr>
    </w:p>
    <w:p w:rsidR="000912CE" w:rsidRDefault="000912CE" w:rsidP="00C33F45">
      <w:pPr>
        <w:ind w:right="120"/>
        <w:jc w:val="both"/>
        <w:rPr>
          <w:rFonts w:ascii="Verdana" w:hAnsi="Verdana"/>
          <w:sz w:val="20"/>
          <w:szCs w:val="20"/>
        </w:rPr>
      </w:pPr>
    </w:p>
    <w:p w:rsidR="000912CE" w:rsidRDefault="000912CE" w:rsidP="000912CE">
      <w:pPr>
        <w:ind w:right="72"/>
        <w:jc w:val="both"/>
        <w:rPr>
          <w:rFonts w:ascii="Verdana" w:hAnsi="Verdana" w:cs="Arial"/>
          <w:b/>
          <w:color w:val="104815"/>
          <w:sz w:val="22"/>
          <w:szCs w:val="22"/>
        </w:rPr>
      </w:pPr>
      <w:r w:rsidRPr="006246AA">
        <w:rPr>
          <w:rFonts w:ascii="Verdana" w:hAnsi="Verdana" w:cs="Arial"/>
          <w:b/>
          <w:color w:val="104815"/>
          <w:sz w:val="22"/>
          <w:szCs w:val="22"/>
        </w:rPr>
        <w:t>2.</w:t>
      </w:r>
      <w:r>
        <w:rPr>
          <w:rFonts w:ascii="Verdana" w:hAnsi="Verdana" w:cs="Arial"/>
          <w:b/>
          <w:color w:val="104815"/>
          <w:sz w:val="22"/>
          <w:szCs w:val="22"/>
        </w:rPr>
        <w:t>5</w:t>
      </w:r>
      <w:r w:rsidRPr="006246AA">
        <w:rPr>
          <w:rFonts w:ascii="Verdana" w:hAnsi="Verdana" w:cs="Arial"/>
          <w:b/>
          <w:color w:val="104815"/>
          <w:sz w:val="22"/>
          <w:szCs w:val="22"/>
        </w:rPr>
        <w:t xml:space="preserve">. </w:t>
      </w:r>
      <w:r>
        <w:rPr>
          <w:rFonts w:ascii="Verdana" w:hAnsi="Verdana" w:cs="Arial"/>
          <w:b/>
          <w:color w:val="104815"/>
          <w:sz w:val="22"/>
          <w:szCs w:val="22"/>
        </w:rPr>
        <w:t>Keine räumliche Verlagerung von ökologischen Vorrangflächen</w:t>
      </w:r>
    </w:p>
    <w:p w:rsidR="00E75C27" w:rsidRPr="00E75C27" w:rsidRDefault="00E75C27" w:rsidP="00E75C27">
      <w:pPr>
        <w:pStyle w:val="Default"/>
        <w:jc w:val="both"/>
        <w:rPr>
          <w:rFonts w:ascii="Verdana" w:hAnsi="Verdana"/>
          <w:sz w:val="20"/>
          <w:szCs w:val="20"/>
        </w:rPr>
      </w:pPr>
      <w:r w:rsidRPr="00E75C27">
        <w:rPr>
          <w:rFonts w:ascii="Verdana" w:hAnsi="Verdana"/>
          <w:sz w:val="20"/>
          <w:szCs w:val="20"/>
        </w:rPr>
        <w:t>Bei der Umsetzung des Greening ist es bislang im Bundesgebi</w:t>
      </w:r>
      <w:r w:rsidR="004C1F3F">
        <w:rPr>
          <w:rFonts w:ascii="Verdana" w:hAnsi="Verdana"/>
          <w:sz w:val="20"/>
          <w:szCs w:val="20"/>
        </w:rPr>
        <w:t>et zu keiner nennenswerten räum</w:t>
      </w:r>
      <w:r w:rsidRPr="00E75C27">
        <w:rPr>
          <w:rFonts w:ascii="Verdana" w:hAnsi="Verdana"/>
          <w:sz w:val="20"/>
          <w:szCs w:val="20"/>
        </w:rPr>
        <w:t>lichen Verlagerung von ökologischen Vorrangflächen aus landwirtschaftlichen Gunstregionen auf ertragsschwache Standorte gekommen. Das geht aus einem Bericht des</w:t>
      </w:r>
      <w:r w:rsidR="004C1F3F">
        <w:rPr>
          <w:rFonts w:ascii="Verdana" w:hAnsi="Verdana"/>
          <w:sz w:val="20"/>
          <w:szCs w:val="20"/>
        </w:rPr>
        <w:t xml:space="preserve"> Bundeslandwirt</w:t>
      </w:r>
      <w:r w:rsidRPr="00E75C27">
        <w:rPr>
          <w:rFonts w:ascii="Verdana" w:hAnsi="Verdana"/>
          <w:sz w:val="20"/>
          <w:szCs w:val="20"/>
        </w:rPr>
        <w:t xml:space="preserve">schaftsministeriums für die Agrarministerkonferenz in dieser Woche in Göhren-Lebbin hervor. </w:t>
      </w:r>
    </w:p>
    <w:p w:rsidR="00E75C27" w:rsidRPr="00E75C27" w:rsidRDefault="00E75C27" w:rsidP="00E75C27">
      <w:pPr>
        <w:pStyle w:val="Default"/>
        <w:jc w:val="both"/>
        <w:rPr>
          <w:rFonts w:ascii="Verdana" w:hAnsi="Verdana"/>
          <w:sz w:val="20"/>
          <w:szCs w:val="20"/>
        </w:rPr>
      </w:pPr>
      <w:r w:rsidRPr="00E75C27">
        <w:rPr>
          <w:rFonts w:ascii="Verdana" w:hAnsi="Verdana"/>
          <w:sz w:val="20"/>
          <w:szCs w:val="20"/>
        </w:rPr>
        <w:t>Ursache dafür ist demzufolge insbesondere die Möglichkeit, ök</w:t>
      </w:r>
      <w:r w:rsidR="004C1F3F">
        <w:rPr>
          <w:rFonts w:ascii="Verdana" w:hAnsi="Verdana"/>
          <w:sz w:val="20"/>
          <w:szCs w:val="20"/>
        </w:rPr>
        <w:t>ologische Vorrangflächen produk</w:t>
      </w:r>
      <w:r w:rsidRPr="00E75C27">
        <w:rPr>
          <w:rFonts w:ascii="Verdana" w:hAnsi="Verdana"/>
          <w:sz w:val="20"/>
          <w:szCs w:val="20"/>
        </w:rPr>
        <w:t xml:space="preserve">tiv nutzen zu können. Eine Rolle spielten darüber hinaus die begrenzten Zupachtmöglichkeiten in anderen Regionen angesichts einer angespannten Situation </w:t>
      </w:r>
      <w:r w:rsidR="00BE38E2">
        <w:rPr>
          <w:rFonts w:ascii="Verdana" w:hAnsi="Verdana"/>
          <w:sz w:val="20"/>
          <w:szCs w:val="20"/>
        </w:rPr>
        <w:t>auf dem Pachtmarkt sowie das Be</w:t>
      </w:r>
      <w:r w:rsidRPr="00E75C27">
        <w:rPr>
          <w:rFonts w:ascii="Verdana" w:hAnsi="Verdana"/>
          <w:sz w:val="20"/>
          <w:szCs w:val="20"/>
        </w:rPr>
        <w:t xml:space="preserve">streben der Landwirte, möglichst für alle verfügbaren Flächen Zahlungsansprüche zu beantragen. </w:t>
      </w:r>
    </w:p>
    <w:p w:rsidR="000912CE" w:rsidRPr="00E75C27" w:rsidRDefault="00E75C27" w:rsidP="00E75C27">
      <w:pPr>
        <w:ind w:right="120"/>
        <w:jc w:val="both"/>
        <w:rPr>
          <w:rFonts w:ascii="Verdana" w:hAnsi="Verdana"/>
          <w:sz w:val="20"/>
          <w:szCs w:val="20"/>
        </w:rPr>
      </w:pPr>
      <w:r w:rsidRPr="00E75C27">
        <w:rPr>
          <w:rFonts w:ascii="Verdana" w:hAnsi="Verdana"/>
          <w:sz w:val="20"/>
          <w:szCs w:val="20"/>
        </w:rPr>
        <w:t>Laut Ministeriumsbericht wurden im vergangenen Jahr in Deutschland 1,367 Mio. ha ökologische Vorrangflächen angemeldet. Davon entfielen mit gut 930 000 h</w:t>
      </w:r>
      <w:r w:rsidR="00BE38E2">
        <w:rPr>
          <w:rFonts w:ascii="Verdana" w:hAnsi="Verdana"/>
          <w:sz w:val="20"/>
          <w:szCs w:val="20"/>
        </w:rPr>
        <w:t>a mehr als zwei Drittel auf Zwi</w:t>
      </w:r>
      <w:r w:rsidRPr="00E75C27">
        <w:rPr>
          <w:rFonts w:ascii="Verdana" w:hAnsi="Verdana"/>
          <w:sz w:val="20"/>
          <w:szCs w:val="20"/>
        </w:rPr>
        <w:t xml:space="preserve">schenfrüchte und Grasuntersaaten. Auf knapp 162 000 ha wurden stickstoffbindende Pflanzen angebaut. Der Umfang der brachliegenden Flächen, die als ökologische </w:t>
      </w:r>
      <w:r w:rsidR="00BE38E2">
        <w:rPr>
          <w:rFonts w:ascii="Verdana" w:hAnsi="Verdana"/>
          <w:sz w:val="20"/>
          <w:szCs w:val="20"/>
        </w:rPr>
        <w:t>Vorrangflächen ange</w:t>
      </w:r>
      <w:r w:rsidRPr="00E75C27">
        <w:rPr>
          <w:rFonts w:ascii="Verdana" w:hAnsi="Verdana"/>
          <w:sz w:val="20"/>
          <w:szCs w:val="20"/>
        </w:rPr>
        <w:t>meldet wurde, belief sich auf knapp 222 000 ha.</w:t>
      </w:r>
    </w:p>
    <w:p w:rsidR="000912CE" w:rsidRDefault="000912CE" w:rsidP="00C33F45">
      <w:pPr>
        <w:ind w:right="120"/>
        <w:jc w:val="both"/>
        <w:rPr>
          <w:rFonts w:ascii="Verdana" w:hAnsi="Verdana"/>
          <w:sz w:val="20"/>
          <w:szCs w:val="20"/>
        </w:rPr>
      </w:pPr>
    </w:p>
    <w:p w:rsidR="000912CE" w:rsidRDefault="000912CE" w:rsidP="00C33F45">
      <w:pPr>
        <w:ind w:right="120"/>
        <w:jc w:val="both"/>
        <w:rPr>
          <w:rFonts w:ascii="Verdana" w:hAnsi="Verdana"/>
          <w:sz w:val="20"/>
          <w:szCs w:val="20"/>
        </w:rPr>
      </w:pPr>
    </w:p>
    <w:p w:rsidR="000912CE" w:rsidRDefault="000912CE" w:rsidP="000912CE">
      <w:pPr>
        <w:ind w:right="72"/>
        <w:jc w:val="both"/>
        <w:rPr>
          <w:rFonts w:ascii="Verdana" w:hAnsi="Verdana" w:cs="Arial"/>
          <w:b/>
          <w:color w:val="104815"/>
          <w:sz w:val="22"/>
          <w:szCs w:val="22"/>
        </w:rPr>
      </w:pPr>
      <w:r w:rsidRPr="006246AA">
        <w:rPr>
          <w:rFonts w:ascii="Verdana" w:hAnsi="Verdana" w:cs="Arial"/>
          <w:b/>
          <w:color w:val="104815"/>
          <w:sz w:val="22"/>
          <w:szCs w:val="22"/>
        </w:rPr>
        <w:t>2.</w:t>
      </w:r>
      <w:r w:rsidR="00E75C27">
        <w:rPr>
          <w:rFonts w:ascii="Verdana" w:hAnsi="Verdana" w:cs="Arial"/>
          <w:b/>
          <w:color w:val="104815"/>
          <w:sz w:val="22"/>
          <w:szCs w:val="22"/>
        </w:rPr>
        <w:t>6</w:t>
      </w:r>
      <w:r w:rsidRPr="006246AA">
        <w:rPr>
          <w:rFonts w:ascii="Verdana" w:hAnsi="Verdana" w:cs="Arial"/>
          <w:b/>
          <w:color w:val="104815"/>
          <w:sz w:val="22"/>
          <w:szCs w:val="22"/>
        </w:rPr>
        <w:t xml:space="preserve">. </w:t>
      </w:r>
      <w:r w:rsidR="00E75C27">
        <w:rPr>
          <w:rFonts w:ascii="Verdana" w:hAnsi="Verdana" w:cs="Arial"/>
          <w:b/>
          <w:color w:val="104815"/>
          <w:sz w:val="22"/>
          <w:szCs w:val="22"/>
        </w:rPr>
        <w:t>BVL: Fragen und Antworten zu den neuen Pflanzenzüchtungstechniken</w:t>
      </w:r>
    </w:p>
    <w:p w:rsidR="00E75C27" w:rsidRPr="00E75C27" w:rsidRDefault="00E75C27" w:rsidP="00E75C27">
      <w:pPr>
        <w:pStyle w:val="Default"/>
        <w:jc w:val="both"/>
        <w:rPr>
          <w:rFonts w:ascii="Verdana" w:hAnsi="Verdana"/>
          <w:sz w:val="20"/>
          <w:szCs w:val="20"/>
        </w:rPr>
      </w:pPr>
      <w:r w:rsidRPr="00E75C27">
        <w:rPr>
          <w:rFonts w:ascii="Verdana" w:hAnsi="Verdana"/>
          <w:sz w:val="20"/>
          <w:szCs w:val="20"/>
        </w:rPr>
        <w:t xml:space="preserve">Das Bundesamt für Verbraucherschutz und Lebensmittelsicherheit (BVL) hat kürzlich festgestellt, dass die Anwendung eines Verfahrens dieser neuen Züchtungstechniken, die Oligonukleotid gerichtete Mutagenese (OGM), nicht unter das Gentechnikrecht fällt und Raps, der über dieses Verfahren durch eine Punktmutation verändert wurde, kein gentechnisch veränderter Organismus im Sinne des Gentechnikgesetzes darstellt. </w:t>
      </w:r>
    </w:p>
    <w:p w:rsidR="00E75C27" w:rsidRPr="00E75C27" w:rsidRDefault="00E75C27" w:rsidP="00E75C27">
      <w:pPr>
        <w:pStyle w:val="Default"/>
        <w:jc w:val="both"/>
        <w:rPr>
          <w:rFonts w:ascii="Verdana" w:hAnsi="Verdana"/>
          <w:sz w:val="20"/>
          <w:szCs w:val="20"/>
        </w:rPr>
      </w:pPr>
      <w:r w:rsidRPr="00E75C27">
        <w:rPr>
          <w:rFonts w:ascii="Verdana" w:hAnsi="Verdana"/>
          <w:sz w:val="20"/>
          <w:szCs w:val="20"/>
        </w:rPr>
        <w:t xml:space="preserve">Das BVL hatte zur gentechnikrechtlichen Einordnung von neuen Pflanzenzüchtungstechniken, insbesondere OGM und CRISPR-Cas9, bereits im November </w:t>
      </w:r>
      <w:r w:rsidR="00BE38E2">
        <w:rPr>
          <w:rFonts w:ascii="Verdana" w:hAnsi="Verdana"/>
          <w:sz w:val="20"/>
          <w:szCs w:val="20"/>
        </w:rPr>
        <w:t>2015 ausführlich Stellung genom</w:t>
      </w:r>
      <w:r w:rsidRPr="00E75C27">
        <w:rPr>
          <w:rFonts w:ascii="Verdana" w:hAnsi="Verdana"/>
          <w:sz w:val="20"/>
          <w:szCs w:val="20"/>
        </w:rPr>
        <w:t xml:space="preserve">men. Ferner berichtet das BVL auf seinen Internetseiten über </w:t>
      </w:r>
      <w:r w:rsidR="00BE38E2">
        <w:rPr>
          <w:rFonts w:ascii="Verdana" w:hAnsi="Verdana"/>
          <w:sz w:val="20"/>
          <w:szCs w:val="20"/>
        </w:rPr>
        <w:t>die jüngste Entwicklung des „ge</w:t>
      </w:r>
      <w:r w:rsidRPr="00E75C27">
        <w:rPr>
          <w:rFonts w:ascii="Verdana" w:hAnsi="Verdana"/>
          <w:sz w:val="20"/>
          <w:szCs w:val="20"/>
        </w:rPr>
        <w:t xml:space="preserve">nome editing“. Züchter erhoffen sich von den neuen Pflanzenzüchtungstechniken rasche und kosteneffiziente Züchtungsfortschritte. Kritiker warnen vor </w:t>
      </w:r>
      <w:r w:rsidR="00BE38E2">
        <w:rPr>
          <w:rFonts w:ascii="Verdana" w:hAnsi="Verdana"/>
          <w:sz w:val="20"/>
          <w:szCs w:val="20"/>
        </w:rPr>
        <w:t>Risiken und sehen einen Regulie</w:t>
      </w:r>
      <w:r w:rsidRPr="00E75C27">
        <w:rPr>
          <w:rFonts w:ascii="Verdana" w:hAnsi="Verdana"/>
          <w:sz w:val="20"/>
          <w:szCs w:val="20"/>
        </w:rPr>
        <w:t xml:space="preserve">rungsbedarf für diese Techniken ähnlich wie bei der konventionellen Gentechnik. </w:t>
      </w:r>
    </w:p>
    <w:p w:rsidR="00E75C27" w:rsidRPr="00E75C27" w:rsidRDefault="00E75C27" w:rsidP="00E75C27">
      <w:pPr>
        <w:pStyle w:val="Default"/>
        <w:jc w:val="both"/>
        <w:rPr>
          <w:rFonts w:ascii="Verdana" w:hAnsi="Verdana"/>
          <w:sz w:val="20"/>
          <w:szCs w:val="20"/>
        </w:rPr>
      </w:pPr>
      <w:r w:rsidRPr="00E75C27">
        <w:rPr>
          <w:rFonts w:ascii="Verdana" w:hAnsi="Verdana"/>
          <w:sz w:val="20"/>
          <w:szCs w:val="20"/>
        </w:rPr>
        <w:t>Das BVL hat nun eine Liste häufig gestellter Fragen zu diese</w:t>
      </w:r>
      <w:r w:rsidR="00BE38E2">
        <w:rPr>
          <w:rFonts w:ascii="Verdana" w:hAnsi="Verdana"/>
          <w:sz w:val="20"/>
          <w:szCs w:val="20"/>
        </w:rPr>
        <w:t>n neuen Pflanzenzüchtungstechni</w:t>
      </w:r>
      <w:r w:rsidRPr="00E75C27">
        <w:rPr>
          <w:rFonts w:ascii="Verdana" w:hAnsi="Verdana"/>
          <w:sz w:val="20"/>
          <w:szCs w:val="20"/>
        </w:rPr>
        <w:t xml:space="preserve">ken mit Antworten zusammengestellt. Sie dienen der Orientierung und sollen die Diskussion auf eine fachliche Grundlage stellen. </w:t>
      </w:r>
    </w:p>
    <w:p w:rsidR="000912CE" w:rsidRDefault="00E75C27" w:rsidP="00E75C27">
      <w:pPr>
        <w:ind w:right="120"/>
        <w:jc w:val="both"/>
        <w:rPr>
          <w:rFonts w:ascii="Verdana" w:hAnsi="Verdana"/>
          <w:sz w:val="20"/>
          <w:szCs w:val="20"/>
        </w:rPr>
      </w:pPr>
      <w:r w:rsidRPr="00E75C27">
        <w:rPr>
          <w:rFonts w:ascii="Verdana" w:hAnsi="Verdana"/>
          <w:sz w:val="20"/>
          <w:szCs w:val="20"/>
        </w:rPr>
        <w:lastRenderedPageBreak/>
        <w:t>(</w:t>
      </w:r>
      <w:hyperlink r:id="rId15" w:history="1">
        <w:r w:rsidRPr="007B5E04">
          <w:rPr>
            <w:rStyle w:val="Hyperlink"/>
            <w:rFonts w:ascii="Verdana" w:hAnsi="Verdana"/>
            <w:sz w:val="20"/>
            <w:szCs w:val="20"/>
          </w:rPr>
          <w:t>http://www.bvl.bund.de/DE/06_Gentechnik/04_Fachmeldungen/2016/2016_04_07_Fa_neue_Zuechtungsverfahren.html</w:t>
        </w:r>
      </w:hyperlink>
      <w:r w:rsidRPr="00E75C27">
        <w:rPr>
          <w:rFonts w:ascii="Verdana" w:hAnsi="Verdana"/>
          <w:sz w:val="20"/>
          <w:szCs w:val="20"/>
        </w:rPr>
        <w:t>)</w:t>
      </w:r>
      <w:r>
        <w:rPr>
          <w:rFonts w:ascii="Verdana" w:hAnsi="Verdana"/>
          <w:sz w:val="20"/>
          <w:szCs w:val="20"/>
        </w:rPr>
        <w:t xml:space="preserve"> </w:t>
      </w:r>
    </w:p>
    <w:p w:rsidR="00E75C27" w:rsidRPr="00E75C27" w:rsidRDefault="00E75C27" w:rsidP="00E75C27">
      <w:pPr>
        <w:ind w:right="120"/>
        <w:jc w:val="both"/>
        <w:rPr>
          <w:rFonts w:ascii="Verdana" w:hAnsi="Verdana"/>
          <w:sz w:val="20"/>
          <w:szCs w:val="20"/>
        </w:rPr>
      </w:pPr>
    </w:p>
    <w:p w:rsidR="000912CE" w:rsidRPr="00C33F45" w:rsidRDefault="000912CE" w:rsidP="00C33F45">
      <w:pPr>
        <w:ind w:right="120"/>
        <w:jc w:val="both"/>
        <w:rPr>
          <w:rFonts w:ascii="Verdana" w:hAnsi="Verdana"/>
          <w:sz w:val="20"/>
          <w:szCs w:val="20"/>
        </w:rPr>
      </w:pPr>
    </w:p>
    <w:p w:rsidR="00B05E1D" w:rsidRPr="006246AA" w:rsidRDefault="00B05E1D" w:rsidP="00C33F45">
      <w:pPr>
        <w:ind w:right="72"/>
        <w:jc w:val="both"/>
        <w:rPr>
          <w:rFonts w:ascii="Verdana" w:hAnsi="Verdana" w:cs="Arial"/>
          <w:b/>
          <w:color w:val="104815"/>
          <w:sz w:val="28"/>
          <w:szCs w:val="28"/>
          <w:u w:val="single"/>
        </w:rPr>
      </w:pPr>
      <w:r w:rsidRPr="006246AA">
        <w:rPr>
          <w:rFonts w:ascii="Verdana" w:hAnsi="Verdana" w:cs="Arial"/>
          <w:b/>
          <w:color w:val="104815"/>
          <w:sz w:val="28"/>
          <w:szCs w:val="28"/>
          <w:u w:val="single"/>
        </w:rPr>
        <w:t xml:space="preserve">3. </w:t>
      </w:r>
      <w:r w:rsidR="00E75C27">
        <w:rPr>
          <w:rFonts w:ascii="Verdana" w:hAnsi="Verdana" w:cs="Arial"/>
          <w:b/>
          <w:color w:val="104815"/>
          <w:sz w:val="28"/>
          <w:szCs w:val="28"/>
          <w:u w:val="single"/>
        </w:rPr>
        <w:t>Meldungen zur Ernte</w:t>
      </w:r>
    </w:p>
    <w:p w:rsidR="005A0C97" w:rsidRPr="00E75C27" w:rsidRDefault="00E75C27" w:rsidP="00E75C27">
      <w:pPr>
        <w:pStyle w:val="Listenabsatz"/>
        <w:numPr>
          <w:ilvl w:val="0"/>
          <w:numId w:val="49"/>
        </w:numPr>
        <w:ind w:left="426" w:right="72" w:hanging="426"/>
        <w:jc w:val="both"/>
        <w:rPr>
          <w:rFonts w:ascii="Verdana" w:hAnsi="Verdana" w:cs="Arial"/>
          <w:b/>
          <w:color w:val="104815"/>
          <w:sz w:val="20"/>
          <w:szCs w:val="20"/>
        </w:rPr>
      </w:pPr>
      <w:r>
        <w:rPr>
          <w:rFonts w:ascii="Verdana" w:hAnsi="Verdana" w:cs="Arial"/>
          <w:b/>
          <w:color w:val="104815"/>
          <w:sz w:val="20"/>
          <w:szCs w:val="20"/>
        </w:rPr>
        <w:t>USDA hebt Prognose für weltweite Weizen- und Maisernte an</w:t>
      </w:r>
    </w:p>
    <w:p w:rsidR="00E75C27" w:rsidRPr="00E75C27" w:rsidRDefault="00E75C27" w:rsidP="00E75C27">
      <w:pPr>
        <w:autoSpaceDE w:val="0"/>
        <w:autoSpaceDN w:val="0"/>
        <w:adjustRightInd w:val="0"/>
        <w:ind w:firstLine="426"/>
        <w:jc w:val="both"/>
        <w:rPr>
          <w:rFonts w:ascii="Verdana" w:hAnsi="Verdana" w:cs="Symbol"/>
          <w:color w:val="000000"/>
          <w:sz w:val="20"/>
          <w:szCs w:val="20"/>
        </w:rPr>
      </w:pPr>
      <w:r w:rsidRPr="00E75C27">
        <w:rPr>
          <w:rFonts w:ascii="Verdana" w:hAnsi="Verdana" w:cs="Arial"/>
          <w:color w:val="000000"/>
          <w:sz w:val="20"/>
          <w:szCs w:val="20"/>
        </w:rPr>
        <w:t xml:space="preserve">USDA hebt Prognose für weltweite Weizen- und Maisernte an </w:t>
      </w:r>
    </w:p>
    <w:p w:rsidR="00E75C27" w:rsidRPr="00E75C27" w:rsidRDefault="00E75C27" w:rsidP="00E75C27">
      <w:pPr>
        <w:pStyle w:val="Listenabsatz"/>
        <w:autoSpaceDE w:val="0"/>
        <w:autoSpaceDN w:val="0"/>
        <w:adjustRightInd w:val="0"/>
        <w:ind w:left="426"/>
        <w:jc w:val="both"/>
        <w:rPr>
          <w:rFonts w:ascii="Verdana" w:hAnsi="Verdana" w:cs="Arial"/>
          <w:color w:val="000000"/>
          <w:sz w:val="20"/>
          <w:szCs w:val="20"/>
        </w:rPr>
      </w:pPr>
      <w:r w:rsidRPr="00E75C27">
        <w:rPr>
          <w:rFonts w:ascii="Verdana" w:hAnsi="Verdana" w:cs="Arial"/>
          <w:color w:val="000000"/>
          <w:sz w:val="20"/>
          <w:szCs w:val="20"/>
        </w:rPr>
        <w:t xml:space="preserve">Das US-Agrarministerium (USDA) hat seine Prognose für das weltweite Maisangebot 2015/16 erneut erhöht. So steigen die Aussichten für die globale Maiserzeugung um 2,5 Mio. auf 972,1 Mio. t. Gleichzeitig hat das USDA die weltweiten Anfangsbestände um ebenfalls 2,5 Mio. t heraufgesetzt. Der globale Verbrauch an Mais soll angesichts </w:t>
      </w:r>
      <w:r w:rsidR="00BE38E2">
        <w:rPr>
          <w:rFonts w:ascii="Verdana" w:hAnsi="Verdana" w:cs="Arial"/>
          <w:color w:val="000000"/>
          <w:sz w:val="20"/>
          <w:szCs w:val="20"/>
        </w:rPr>
        <w:t>der größeren Verfügbarkeit stei</w:t>
      </w:r>
      <w:r w:rsidRPr="00E75C27">
        <w:rPr>
          <w:rFonts w:ascii="Verdana" w:hAnsi="Verdana" w:cs="Arial"/>
          <w:color w:val="000000"/>
          <w:sz w:val="20"/>
          <w:szCs w:val="20"/>
        </w:rPr>
        <w:t>gen, hier erwarten die Beamten nun 970,8 (plus 3,0) Mio. t. Dam</w:t>
      </w:r>
      <w:r w:rsidR="00BE38E2">
        <w:rPr>
          <w:rFonts w:ascii="Verdana" w:hAnsi="Verdana" w:cs="Arial"/>
          <w:color w:val="000000"/>
          <w:sz w:val="20"/>
          <w:szCs w:val="20"/>
        </w:rPr>
        <w:t>it geht das USDA für das laufen</w:t>
      </w:r>
      <w:r w:rsidRPr="00E75C27">
        <w:rPr>
          <w:rFonts w:ascii="Verdana" w:hAnsi="Verdana" w:cs="Arial"/>
          <w:color w:val="000000"/>
          <w:sz w:val="20"/>
          <w:szCs w:val="20"/>
        </w:rPr>
        <w:t xml:space="preserve">de Wirtschaftsjahr immer noch von einem Überhang aus, während der Internationale Getreiderat für 2015/16 zuletzt eine Maisernte von 972,0 Mio. t und einen Verbrauch von 973,0 Mio. t und damit ein Defizit prognostiziert hatte. Die Maisimporte der EU sollen auf 15 Mio. t sinken. Die weltweiten Endbestände 2015/16 veranschlagt das USDA auf 208,9 (plus 1,9) Mio. t. Analysten hatten hier im Schnitt mit einer Anhebung auf 208,0 Mio. t gerechnet. </w:t>
      </w:r>
    </w:p>
    <w:p w:rsidR="00E75C27" w:rsidRPr="00E75C27" w:rsidRDefault="00E75C27" w:rsidP="00E75C27">
      <w:pPr>
        <w:autoSpaceDE w:val="0"/>
        <w:autoSpaceDN w:val="0"/>
        <w:adjustRightInd w:val="0"/>
        <w:ind w:left="426"/>
        <w:jc w:val="both"/>
        <w:rPr>
          <w:rFonts w:ascii="Verdana" w:hAnsi="Verdana" w:cs="Arial"/>
          <w:color w:val="000000"/>
          <w:sz w:val="20"/>
          <w:szCs w:val="20"/>
        </w:rPr>
      </w:pPr>
      <w:r w:rsidRPr="00E75C27">
        <w:rPr>
          <w:rFonts w:ascii="Verdana" w:hAnsi="Verdana" w:cs="Arial"/>
          <w:color w:val="000000"/>
          <w:sz w:val="20"/>
          <w:szCs w:val="20"/>
        </w:rPr>
        <w:t>Die Schätzung für die weltweite Ölsaatenproduktion 2015/16 hob das USDA leicht auf 527 Mio. t an, während die weltweite Sojabohnenernte stabil bei 320,2 Mio. t gesehen wurde. Die Prognose für die weltweiten Sojabohnen-Endbestände 2015/16 hat das Mini</w:t>
      </w:r>
      <w:r w:rsidR="00BE38E2">
        <w:rPr>
          <w:rFonts w:ascii="Verdana" w:hAnsi="Verdana" w:cs="Arial"/>
          <w:color w:val="000000"/>
          <w:sz w:val="20"/>
          <w:szCs w:val="20"/>
        </w:rPr>
        <w:t>sterium leicht auf 79 Mio. t er</w:t>
      </w:r>
      <w:r w:rsidRPr="00E75C27">
        <w:rPr>
          <w:rFonts w:ascii="Verdana" w:hAnsi="Verdana" w:cs="Arial"/>
          <w:color w:val="000000"/>
          <w:sz w:val="20"/>
          <w:szCs w:val="20"/>
        </w:rPr>
        <w:t xml:space="preserve">höht. </w:t>
      </w:r>
    </w:p>
    <w:p w:rsidR="00E75C27" w:rsidRPr="00E75C27" w:rsidRDefault="00E75C27" w:rsidP="00E75C27">
      <w:pPr>
        <w:pStyle w:val="Listenabsatz"/>
        <w:autoSpaceDE w:val="0"/>
        <w:autoSpaceDN w:val="0"/>
        <w:adjustRightInd w:val="0"/>
        <w:ind w:left="426"/>
        <w:jc w:val="both"/>
        <w:rPr>
          <w:rFonts w:ascii="Verdana" w:hAnsi="Verdana" w:cs="Wingdings"/>
          <w:color w:val="000000"/>
          <w:sz w:val="20"/>
          <w:szCs w:val="20"/>
        </w:rPr>
      </w:pPr>
      <w:r w:rsidRPr="00E75C27">
        <w:rPr>
          <w:rFonts w:ascii="Verdana" w:hAnsi="Verdana" w:cs="Arial"/>
          <w:color w:val="000000"/>
          <w:sz w:val="20"/>
          <w:szCs w:val="20"/>
        </w:rPr>
        <w:t>Die weltweite Weizenproduktion 2015/16 sieht das USDA in seiner April-Prognose bei 733,1 Mio. t und damit um 0,8 Mio. t höher als im Vormonat.</w:t>
      </w:r>
      <w:r w:rsidR="00BE38E2">
        <w:rPr>
          <w:rFonts w:ascii="Verdana" w:hAnsi="Verdana" w:cs="Arial"/>
          <w:color w:val="000000"/>
          <w:sz w:val="20"/>
          <w:szCs w:val="20"/>
        </w:rPr>
        <w:t xml:space="preserve"> Die Anpassung der Schätzung be</w:t>
      </w:r>
      <w:r w:rsidRPr="00E75C27">
        <w:rPr>
          <w:rFonts w:ascii="Verdana" w:hAnsi="Verdana" w:cs="Arial"/>
          <w:color w:val="000000"/>
          <w:sz w:val="20"/>
          <w:szCs w:val="20"/>
        </w:rPr>
        <w:t>gründet das US-Agrarministerium unter anderem mit einer Anhebung der EU-Ernte im Vergleich zum Vormonat um 1,5 Mio. t auf einen Rekordwert von 160 Mio.</w:t>
      </w:r>
      <w:r w:rsidR="00BE38E2">
        <w:rPr>
          <w:rFonts w:ascii="Verdana" w:hAnsi="Verdana" w:cs="Arial"/>
          <w:color w:val="000000"/>
          <w:sz w:val="20"/>
          <w:szCs w:val="20"/>
        </w:rPr>
        <w:t xml:space="preserve"> t. Die Erwartung für den globa</w:t>
      </w:r>
      <w:r w:rsidRPr="00E75C27">
        <w:rPr>
          <w:rFonts w:ascii="Verdana" w:hAnsi="Verdana" w:cs="Arial"/>
          <w:color w:val="000000"/>
          <w:sz w:val="20"/>
          <w:szCs w:val="20"/>
        </w:rPr>
        <w:t xml:space="preserve">len Verbrauch hat das Ministerium gesenkt und geht nun von 708,7 (minus 0,7) Mio. t aus. Die weltweiten Weizenausfuhren sollen sich laut April-Prognose 2015/ 16 auf 163,1 (plus 0,4) Mio. t belaufen. Demnach soll die EU 32 (minus 0,5) Mio. t exportieren. Weltweit sieht das USDA die Endbestände der Saison 2015/16 bei Weizen bei 239,3 (plus 1,7) Mio. t. </w:t>
      </w:r>
      <w:r w:rsidRPr="00E75C27">
        <w:rPr>
          <w:rFonts w:ascii="Verdana" w:hAnsi="Verdana" w:cs="Wingdings"/>
          <w:color w:val="000000"/>
          <w:sz w:val="20"/>
          <w:szCs w:val="20"/>
        </w:rPr>
        <w:t xml:space="preserve"> </w:t>
      </w:r>
    </w:p>
    <w:p w:rsidR="00E75C27" w:rsidRPr="00E75C27" w:rsidRDefault="00E75C27" w:rsidP="00E75C27">
      <w:pPr>
        <w:pStyle w:val="Listenabsatz"/>
        <w:autoSpaceDE w:val="0"/>
        <w:autoSpaceDN w:val="0"/>
        <w:adjustRightInd w:val="0"/>
        <w:ind w:left="426"/>
        <w:jc w:val="both"/>
        <w:rPr>
          <w:rFonts w:ascii="Verdana" w:hAnsi="Verdana" w:cs="Wingdings"/>
          <w:color w:val="000000"/>
          <w:sz w:val="20"/>
          <w:szCs w:val="20"/>
        </w:rPr>
      </w:pPr>
    </w:p>
    <w:p w:rsidR="00E75C27" w:rsidRPr="00E75C27" w:rsidRDefault="00E75C27" w:rsidP="00E75C27">
      <w:pPr>
        <w:pStyle w:val="Listenabsatz"/>
        <w:numPr>
          <w:ilvl w:val="0"/>
          <w:numId w:val="49"/>
        </w:numPr>
        <w:ind w:left="426" w:right="72" w:hanging="426"/>
        <w:jc w:val="both"/>
        <w:rPr>
          <w:rFonts w:ascii="Verdana" w:hAnsi="Verdana" w:cs="Arial"/>
          <w:b/>
          <w:color w:val="104815"/>
          <w:sz w:val="20"/>
          <w:szCs w:val="20"/>
        </w:rPr>
      </w:pPr>
      <w:r>
        <w:rPr>
          <w:rFonts w:ascii="Verdana" w:hAnsi="Verdana" w:cs="Arial"/>
          <w:b/>
          <w:color w:val="104815"/>
          <w:sz w:val="20"/>
          <w:szCs w:val="20"/>
        </w:rPr>
        <w:t>2015/16: Russland steuert auf Getreide-Exportrekord zu</w:t>
      </w:r>
    </w:p>
    <w:p w:rsidR="008134D5" w:rsidRDefault="00E75C27" w:rsidP="00E75C27">
      <w:pPr>
        <w:pStyle w:val="Listenabsatz"/>
        <w:ind w:left="426" w:right="120"/>
        <w:jc w:val="both"/>
        <w:rPr>
          <w:rFonts w:ascii="Verdana" w:hAnsi="Verdana" w:cs="Arial"/>
          <w:color w:val="000000"/>
          <w:sz w:val="20"/>
          <w:szCs w:val="20"/>
        </w:rPr>
      </w:pPr>
      <w:r w:rsidRPr="00E75C27">
        <w:rPr>
          <w:rFonts w:ascii="Verdana" w:hAnsi="Verdana" w:cs="Arial"/>
          <w:color w:val="000000"/>
          <w:sz w:val="20"/>
          <w:szCs w:val="20"/>
        </w:rPr>
        <w:t>Russland könnte im laufenden Wirtschaftsjahr eine Rekordmenge von etwa 33,8 Mio. t Getreide exportieren. Das meldet das russische staatliche Agrartransportunternehmen RusAgroTrans in seiner jüngsten Prognose. Demnach sei gemessen am Ergebnis aus dem Wirtschaftsjahr 2014/15 mit einem Zuwachs der Exporte von Weizen um 12,5 % auf gut 24,3 Mio. t zu rechnen. Die Ausfuhren von Körnermais sollen ebenfalls deutlich aufgestockt werden, und zwar um mehr als 60 % auf rund 4,9 Mio. t, schätzen die Experten.</w:t>
      </w:r>
    </w:p>
    <w:p w:rsidR="00E75C27" w:rsidRDefault="00E75C27" w:rsidP="00E75C27">
      <w:pPr>
        <w:ind w:right="120"/>
        <w:jc w:val="both"/>
        <w:rPr>
          <w:rFonts w:ascii="Verdana" w:hAnsi="Verdana"/>
          <w:sz w:val="20"/>
          <w:szCs w:val="20"/>
        </w:rPr>
      </w:pPr>
    </w:p>
    <w:p w:rsidR="00E75C27" w:rsidRPr="00E75C27" w:rsidRDefault="007A7DEF" w:rsidP="00E75C27">
      <w:pPr>
        <w:pStyle w:val="Listenabsatz"/>
        <w:numPr>
          <w:ilvl w:val="0"/>
          <w:numId w:val="49"/>
        </w:numPr>
        <w:ind w:left="426" w:right="72" w:hanging="426"/>
        <w:jc w:val="both"/>
        <w:rPr>
          <w:rFonts w:ascii="Verdana" w:hAnsi="Verdana" w:cs="Arial"/>
          <w:b/>
          <w:color w:val="104815"/>
          <w:sz w:val="20"/>
          <w:szCs w:val="20"/>
        </w:rPr>
      </w:pPr>
      <w:r>
        <w:rPr>
          <w:rFonts w:ascii="Verdana" w:hAnsi="Verdana" w:cs="Arial"/>
          <w:b/>
          <w:color w:val="104815"/>
          <w:sz w:val="20"/>
          <w:szCs w:val="20"/>
        </w:rPr>
        <w:t>IGC erwartet mehr Mais und weniger Weizen in 2016/17</w:t>
      </w:r>
    </w:p>
    <w:p w:rsidR="00E75C27" w:rsidRPr="00E75C27" w:rsidRDefault="00E75C27" w:rsidP="00E75C27">
      <w:pPr>
        <w:pStyle w:val="Default"/>
        <w:ind w:left="426"/>
        <w:jc w:val="both"/>
        <w:rPr>
          <w:rFonts w:ascii="Verdana" w:hAnsi="Verdana"/>
          <w:sz w:val="20"/>
          <w:szCs w:val="20"/>
        </w:rPr>
      </w:pPr>
      <w:r w:rsidRPr="00E75C27">
        <w:rPr>
          <w:rFonts w:ascii="Verdana" w:hAnsi="Verdana"/>
          <w:sz w:val="20"/>
          <w:szCs w:val="20"/>
        </w:rPr>
        <w:t>Der Internationale Getreiderat (GC) erwartet in seiner ersten, vo</w:t>
      </w:r>
      <w:r w:rsidR="00BE38E2">
        <w:rPr>
          <w:rFonts w:ascii="Verdana" w:hAnsi="Verdana"/>
          <w:sz w:val="20"/>
          <w:szCs w:val="20"/>
        </w:rPr>
        <w:t>rläufigen Prognose für das Wirt</w:t>
      </w:r>
      <w:r w:rsidRPr="00E75C27">
        <w:rPr>
          <w:rFonts w:ascii="Verdana" w:hAnsi="Verdana"/>
          <w:sz w:val="20"/>
          <w:szCs w:val="20"/>
        </w:rPr>
        <w:t xml:space="preserve">schaftsjahr 2016/17 eine weltweite Maisproduktion von 993 Mio. t. Das sind 21 Mio. t mehr, als für die laufende Saison 2015/16 prognostiziert werden. Die Ernteschätzung für die EU 2015 hat der Rat auf 57,8 (plus 0,7) Mio. t Mais heraufgesetzt. Der weltweiten Produktion 2016/17 von 993 Mio. t Mais soll ein weltweiter Verbrauch von 995 Mio. t gegenüberstehen, was ein neuer Rekord wäre. Überdies werden die Bestände Ende des kommenden Wirtschaftsjahres mit 208 Mio. t auf dem Niveau der Saison 2015/16 (206 Mio. t) erwartet. Für 2015/16 rechnet der IGC mit einem Verbrauch von 972 Mio. t Mais. </w:t>
      </w:r>
    </w:p>
    <w:p w:rsidR="00E75C27" w:rsidRPr="00E75C27" w:rsidRDefault="00E75C27" w:rsidP="00E75C27">
      <w:pPr>
        <w:pStyle w:val="Default"/>
        <w:ind w:left="426"/>
        <w:jc w:val="both"/>
        <w:rPr>
          <w:rFonts w:ascii="Verdana" w:hAnsi="Verdana"/>
          <w:sz w:val="20"/>
          <w:szCs w:val="20"/>
        </w:rPr>
      </w:pPr>
      <w:r w:rsidRPr="00E75C27">
        <w:rPr>
          <w:rFonts w:ascii="Verdana" w:hAnsi="Verdana"/>
          <w:sz w:val="20"/>
          <w:szCs w:val="20"/>
        </w:rPr>
        <w:t>Die weltweite Weizenernte 2016/17 sieht der Rat mit 713 Mio. u</w:t>
      </w:r>
      <w:r w:rsidR="00BE38E2">
        <w:rPr>
          <w:rFonts w:ascii="Verdana" w:hAnsi="Verdana"/>
          <w:sz w:val="20"/>
          <w:szCs w:val="20"/>
        </w:rPr>
        <w:t>m 21 Mio. t unter der Vorjahres</w:t>
      </w:r>
      <w:r w:rsidRPr="00E75C27">
        <w:rPr>
          <w:rFonts w:ascii="Verdana" w:hAnsi="Verdana"/>
          <w:sz w:val="20"/>
          <w:szCs w:val="20"/>
        </w:rPr>
        <w:t>produktion von 734 Mio. t. Die Schätzu</w:t>
      </w:r>
      <w:bookmarkStart w:id="0" w:name="_GoBack"/>
      <w:bookmarkEnd w:id="0"/>
      <w:r w:rsidRPr="00E75C27">
        <w:rPr>
          <w:rFonts w:ascii="Verdana" w:hAnsi="Verdana"/>
          <w:sz w:val="20"/>
          <w:szCs w:val="20"/>
        </w:rPr>
        <w:t xml:space="preserve">ng für 2015/ 16 hat der IGC im Vergleich zum Februar noch einmal um 2 Mio.t erhöht. Unter anderem soll die EU mit 159,3 Mio. t 1 Mio. t mehr Weizen eingefahren haben als noch im Februar geschätzt. </w:t>
      </w:r>
    </w:p>
    <w:p w:rsidR="00E75C27" w:rsidRPr="00E75C27" w:rsidRDefault="00E75C27" w:rsidP="00E75C27">
      <w:pPr>
        <w:pStyle w:val="Default"/>
        <w:ind w:left="426"/>
        <w:jc w:val="both"/>
        <w:rPr>
          <w:rFonts w:ascii="Verdana" w:hAnsi="Verdana"/>
          <w:sz w:val="20"/>
          <w:szCs w:val="20"/>
        </w:rPr>
      </w:pPr>
      <w:r w:rsidRPr="00E75C27">
        <w:rPr>
          <w:rFonts w:ascii="Verdana" w:hAnsi="Verdana"/>
          <w:sz w:val="20"/>
          <w:szCs w:val="20"/>
        </w:rPr>
        <w:t xml:space="preserve">Die weltweite Sojaerzeugung 2016/ 17 sieht der IGC bei 320 Mio. t, was ein Rückgang um 3 Mio. t im Vergleich zur Rekordmenge von 323 Mio. t in der laufenden Saison wäre. Im Vergleich zur vorherigen Schätzung im Februar hat der IGC die </w:t>
      </w:r>
      <w:r w:rsidRPr="00E75C27">
        <w:rPr>
          <w:rFonts w:ascii="Verdana" w:hAnsi="Verdana"/>
          <w:sz w:val="20"/>
          <w:szCs w:val="20"/>
        </w:rPr>
        <w:lastRenderedPageBreak/>
        <w:t xml:space="preserve">Prognose für 2015/16 um 2 Mio. t erhöht. Der weltweite Sojaverbrauch soll 2016/17 mit 327 Mio. t die Produktion um 7 Mio. t übertreffen. Im Vergleich zum Vorjahr wird der Verbrauch um 6 Mio. t höher gesehen. In der Folge sieht der IGC die weltweiten Sojavorräte 2016/17 auf 33 Mio. von 39 Mio. t im Vorjahr sinken. </w:t>
      </w:r>
    </w:p>
    <w:p w:rsidR="00E75C27" w:rsidRDefault="00E75C27" w:rsidP="00E75C27">
      <w:pPr>
        <w:pStyle w:val="Listenabsatz"/>
        <w:ind w:left="426" w:right="120"/>
        <w:jc w:val="both"/>
        <w:rPr>
          <w:rFonts w:ascii="Verdana" w:hAnsi="Verdana"/>
          <w:sz w:val="20"/>
          <w:szCs w:val="20"/>
        </w:rPr>
      </w:pPr>
      <w:r w:rsidRPr="00E75C27">
        <w:rPr>
          <w:rFonts w:ascii="Verdana" w:hAnsi="Verdana"/>
          <w:sz w:val="20"/>
          <w:szCs w:val="20"/>
        </w:rPr>
        <w:t>Die gesamte weltweite Getreideerzeugung soll indes im Wirtschaftsjahr 2016/17 erstmals seit drei Jahren die Marke von 2 Mrd. t unterschreiten und dem erwarteten Verbrauch von 1,997 Mrd. t entsprechen.</w:t>
      </w:r>
    </w:p>
    <w:p w:rsidR="00E75C27" w:rsidRDefault="00E75C27" w:rsidP="00E75C27">
      <w:pPr>
        <w:ind w:right="120"/>
        <w:jc w:val="both"/>
        <w:rPr>
          <w:rFonts w:ascii="Verdana" w:hAnsi="Verdana"/>
          <w:sz w:val="20"/>
          <w:szCs w:val="20"/>
        </w:rPr>
      </w:pPr>
    </w:p>
    <w:p w:rsidR="00E75C27" w:rsidRPr="00E75C27" w:rsidRDefault="00E75C27" w:rsidP="00E75C27">
      <w:pPr>
        <w:pStyle w:val="Listenabsatz"/>
        <w:numPr>
          <w:ilvl w:val="0"/>
          <w:numId w:val="49"/>
        </w:numPr>
        <w:ind w:left="426" w:right="72" w:hanging="426"/>
        <w:jc w:val="both"/>
        <w:rPr>
          <w:rFonts w:ascii="Verdana" w:hAnsi="Verdana" w:cs="Arial"/>
          <w:b/>
          <w:color w:val="104815"/>
          <w:sz w:val="20"/>
          <w:szCs w:val="20"/>
        </w:rPr>
      </w:pPr>
      <w:r>
        <w:rPr>
          <w:rFonts w:ascii="Verdana" w:hAnsi="Verdana" w:cs="Arial"/>
          <w:b/>
          <w:color w:val="104815"/>
          <w:sz w:val="20"/>
          <w:szCs w:val="20"/>
        </w:rPr>
        <w:t>DRV-Schätzung: Ernte 2016 kleiner als im Vorjahr</w:t>
      </w:r>
    </w:p>
    <w:p w:rsidR="009D3255" w:rsidRPr="00BE38E2" w:rsidRDefault="009D3255" w:rsidP="009D3255">
      <w:pPr>
        <w:pStyle w:val="StandardWeb"/>
        <w:spacing w:before="0" w:beforeAutospacing="0" w:after="0" w:afterAutospacing="0"/>
        <w:ind w:left="426"/>
        <w:jc w:val="both"/>
        <w:rPr>
          <w:rFonts w:ascii="Verdana" w:hAnsi="Verdana"/>
          <w:color w:val="auto"/>
        </w:rPr>
      </w:pPr>
      <w:r w:rsidRPr="00BE38E2">
        <w:rPr>
          <w:rFonts w:ascii="Verdana" w:hAnsi="Verdana"/>
          <w:color w:val="auto"/>
        </w:rPr>
        <w:t>Die Erwartungen für die Ernte 2016 bleiben mit in Höhe von gut 48,2 Mio. t überdurchschnittlich. Die aktuelle Schätzung des Deutschen Raiffeisenverbands (DRV) für den Monat April 2016 liegt damit unter Vorjahresniveau (48,9 Mio. t) und geringfügig unter der Prognose des Vormonats von gut 48,3 Mio. t. Grundlage für diese Schätzung sind die Angaben des Statistischen Bundesamtes zu den Herbstaussaatflächen 2015 sowie DRV-Erhebungen zu den Frühjahrsaussaatflächen und Hektarerträgen.</w:t>
      </w:r>
    </w:p>
    <w:p w:rsidR="009D3255" w:rsidRPr="00BE38E2" w:rsidRDefault="009D3255" w:rsidP="009D3255">
      <w:pPr>
        <w:pStyle w:val="StandardWeb"/>
        <w:spacing w:before="0" w:beforeAutospacing="0" w:after="0" w:afterAutospacing="0"/>
        <w:ind w:left="426"/>
        <w:jc w:val="both"/>
        <w:rPr>
          <w:rFonts w:ascii="Verdana" w:hAnsi="Verdana"/>
          <w:color w:val="auto"/>
        </w:rPr>
      </w:pPr>
      <w:r w:rsidRPr="00BE38E2">
        <w:rPr>
          <w:rFonts w:ascii="Verdana" w:hAnsi="Verdana"/>
          <w:color w:val="auto"/>
        </w:rPr>
        <w:t xml:space="preserve">Gegenwärtig wird unverändert von einer Weizenernte in Höhe von 26,1 Mio. t (minus 1,7 % zum </w:t>
      </w:r>
      <w:proofErr w:type="spellStart"/>
      <w:r w:rsidRPr="00BE38E2">
        <w:rPr>
          <w:rFonts w:ascii="Verdana" w:hAnsi="Verdana"/>
          <w:color w:val="auto"/>
        </w:rPr>
        <w:t>Vj</w:t>
      </w:r>
      <w:proofErr w:type="spellEnd"/>
      <w:r w:rsidRPr="00BE38E2">
        <w:rPr>
          <w:rFonts w:ascii="Verdana" w:hAnsi="Verdana"/>
          <w:color w:val="auto"/>
        </w:rPr>
        <w:t xml:space="preserve">.) und einer </w:t>
      </w:r>
      <w:hyperlink r:id="rId16" w:history="1">
        <w:r w:rsidRPr="00BE38E2">
          <w:rPr>
            <w:rStyle w:val="Hyperlink"/>
            <w:rFonts w:ascii="Verdana" w:hAnsi="Verdana"/>
            <w:color w:val="auto"/>
          </w:rPr>
          <w:t>Gerstenernte</w:t>
        </w:r>
      </w:hyperlink>
      <w:r w:rsidRPr="00BE38E2">
        <w:rPr>
          <w:rFonts w:ascii="Verdana" w:hAnsi="Verdana"/>
          <w:color w:val="auto"/>
        </w:rPr>
        <w:t xml:space="preserve"> in Höhe von 11,3 Mio. t ausgegangen. Dieser Wert liegt nur minimal unter dem Vormonatsergebnis von 11,4 Mio. t, allerdings 2,7 Prozent unter dem Rekordwert 2015. Beim Körnermais geht der DRV bei einer leicht ausgedehnten Anbaufläche in Höhe von 462.000 ha (plus 1,3 %) und deutlich höheren Hektarerträgen als im Vorjahr (plus 8,9 %) von einer insgesamt durchschnittlichen Ernte von knapp 4,5 Mio. t aus. Der Zuwachs bei den Hektarerträgen ist mit den teilweise extremen Mindererträgen in 2015 aufgrund der lang anhaltenden Sommertrockenheit zu erklären. Beim Roggen wird mit knapp 3,3 Mio. t weiterhin eine im Vergleich zum Vorjahr um gut 6 Prozent geringere Ernte veranschlagt. Grund dafür ist die deutliche Abnahme der </w:t>
      </w:r>
      <w:hyperlink r:id="rId17" w:history="1">
        <w:r w:rsidRPr="00BE38E2">
          <w:rPr>
            <w:rStyle w:val="Hyperlink"/>
            <w:rFonts w:ascii="Verdana" w:hAnsi="Verdana"/>
            <w:color w:val="auto"/>
          </w:rPr>
          <w:t>Anbauflächen</w:t>
        </w:r>
      </w:hyperlink>
      <w:r w:rsidRPr="00BE38E2">
        <w:rPr>
          <w:rFonts w:ascii="Verdana" w:hAnsi="Verdana"/>
          <w:color w:val="auto"/>
        </w:rPr>
        <w:t>, die auf 580.000 ha prognostiziert wird (minus 5,8 %).</w:t>
      </w:r>
    </w:p>
    <w:p w:rsidR="009D3255" w:rsidRPr="00BE38E2" w:rsidRDefault="009D3255" w:rsidP="009D3255">
      <w:pPr>
        <w:pStyle w:val="StandardWeb"/>
        <w:spacing w:before="0" w:beforeAutospacing="0" w:after="0" w:afterAutospacing="0"/>
        <w:ind w:left="426"/>
        <w:jc w:val="both"/>
        <w:rPr>
          <w:rFonts w:ascii="Verdana" w:hAnsi="Verdana"/>
          <w:color w:val="auto"/>
        </w:rPr>
      </w:pPr>
      <w:r w:rsidRPr="00BE38E2">
        <w:rPr>
          <w:rFonts w:ascii="Verdana" w:hAnsi="Verdana"/>
          <w:color w:val="auto"/>
        </w:rPr>
        <w:t xml:space="preserve">Für die Sommerkulturen geht der DRV wie im Vormonat von nahezu unveränderten </w:t>
      </w:r>
      <w:hyperlink r:id="rId18" w:history="1">
        <w:r w:rsidRPr="00BE38E2">
          <w:rPr>
            <w:rStyle w:val="Hyperlink"/>
            <w:rFonts w:ascii="Verdana" w:hAnsi="Verdana"/>
            <w:color w:val="auto"/>
          </w:rPr>
          <w:t>Anbauflächen</w:t>
        </w:r>
      </w:hyperlink>
      <w:r w:rsidRPr="00BE38E2">
        <w:rPr>
          <w:rFonts w:ascii="Verdana" w:hAnsi="Verdana"/>
          <w:color w:val="auto"/>
        </w:rPr>
        <w:t xml:space="preserve"> aus. Bei Sommergerste werden weiterhin 365.000 ha (</w:t>
      </w:r>
      <w:proofErr w:type="spellStart"/>
      <w:r w:rsidRPr="00BE38E2">
        <w:rPr>
          <w:rFonts w:ascii="Verdana" w:hAnsi="Verdana"/>
          <w:color w:val="auto"/>
        </w:rPr>
        <w:t>Vj</w:t>
      </w:r>
      <w:proofErr w:type="spellEnd"/>
      <w:r w:rsidRPr="00BE38E2">
        <w:rPr>
          <w:rFonts w:ascii="Verdana" w:hAnsi="Verdana"/>
          <w:color w:val="auto"/>
        </w:rPr>
        <w:t xml:space="preserve">. 369.000 ha) erwartet, bei Sommerweizen und Hafer gut 51.000 ha bzw. 127.000 ha. Die </w:t>
      </w:r>
      <w:hyperlink r:id="rId19" w:history="1">
        <w:r w:rsidRPr="00BE38E2">
          <w:rPr>
            <w:rStyle w:val="Hyperlink"/>
            <w:rFonts w:ascii="Verdana" w:hAnsi="Verdana"/>
            <w:color w:val="auto"/>
          </w:rPr>
          <w:t>Aussaat</w:t>
        </w:r>
      </w:hyperlink>
      <w:r w:rsidRPr="00BE38E2">
        <w:rPr>
          <w:rFonts w:ascii="Verdana" w:hAnsi="Verdana"/>
          <w:color w:val="auto"/>
        </w:rPr>
        <w:t xml:space="preserve"> von Sommergetreide mit Ausnahme vom Mais ist bis auf Restflächen zumeist in höheren Lagen und Regionen mit stärkeren Niederschlägen abgeschlossen.</w:t>
      </w:r>
    </w:p>
    <w:p w:rsidR="009D3255" w:rsidRPr="00BE38E2" w:rsidRDefault="009D3255" w:rsidP="009D3255">
      <w:pPr>
        <w:pStyle w:val="StandardWeb"/>
        <w:spacing w:before="0" w:beforeAutospacing="0" w:after="0" w:afterAutospacing="0"/>
        <w:ind w:left="426"/>
        <w:jc w:val="both"/>
        <w:rPr>
          <w:rFonts w:ascii="Verdana" w:hAnsi="Verdana"/>
          <w:color w:val="auto"/>
        </w:rPr>
      </w:pPr>
      <w:r w:rsidRPr="00BE38E2">
        <w:rPr>
          <w:rFonts w:ascii="Verdana" w:hAnsi="Verdana"/>
          <w:color w:val="auto"/>
        </w:rPr>
        <w:t>Die Getreidebestände haben sich in den vergangenen Wochen bis auf wenige Ausnahmen insbesondere im Nordosten Deutschlands positiv entwickelt. Sie liegen nach zwei Jahren mit einer sehr zeitigen Frühjahrsentwicklung nunmehr im langjährigen Mittel.</w:t>
      </w:r>
    </w:p>
    <w:p w:rsidR="009D3255" w:rsidRPr="00BE38E2" w:rsidRDefault="009D3255" w:rsidP="009D3255">
      <w:pPr>
        <w:pStyle w:val="StandardWeb"/>
        <w:spacing w:before="0" w:beforeAutospacing="0" w:after="0" w:afterAutospacing="0"/>
        <w:ind w:left="426"/>
        <w:jc w:val="both"/>
        <w:rPr>
          <w:rFonts w:ascii="Verdana" w:hAnsi="Verdana"/>
          <w:color w:val="auto"/>
        </w:rPr>
      </w:pPr>
      <w:r w:rsidRPr="00BE38E2">
        <w:rPr>
          <w:rFonts w:ascii="Verdana" w:hAnsi="Verdana"/>
          <w:color w:val="auto"/>
        </w:rPr>
        <w:t xml:space="preserve">Beim </w:t>
      </w:r>
      <w:hyperlink r:id="rId20" w:history="1">
        <w:r w:rsidRPr="00BE38E2">
          <w:rPr>
            <w:rStyle w:val="Hyperlink"/>
            <w:rFonts w:ascii="Verdana" w:hAnsi="Verdana"/>
            <w:color w:val="auto"/>
          </w:rPr>
          <w:t>Raps</w:t>
        </w:r>
      </w:hyperlink>
      <w:r w:rsidRPr="00BE38E2">
        <w:rPr>
          <w:rFonts w:ascii="Verdana" w:hAnsi="Verdana"/>
          <w:color w:val="auto"/>
        </w:rPr>
        <w:t xml:space="preserve"> erwartet der DRV bei einer unveränderten Anbaufläche eine Ernte auf Vorjahresniveau in Höhe von 5 Mio. t. Auch bei dieser Kultur haben die milden Temperaturen in den vergangenen vierzehn Tagen für einen zügigen Wachstumsfortschritt gesorgt. In einigen Regionen steht der Blühbeginn unmittelbar bevor.</w:t>
      </w:r>
    </w:p>
    <w:p w:rsidR="00E75C27" w:rsidRDefault="00E75C27" w:rsidP="00E75C27">
      <w:pPr>
        <w:ind w:right="120"/>
        <w:jc w:val="both"/>
        <w:rPr>
          <w:rFonts w:ascii="Verdana" w:hAnsi="Verdana"/>
          <w:sz w:val="20"/>
          <w:szCs w:val="20"/>
        </w:rPr>
      </w:pPr>
    </w:p>
    <w:p w:rsidR="00E75C27" w:rsidRPr="00E75C27" w:rsidRDefault="009D3255" w:rsidP="00E75C27">
      <w:pPr>
        <w:pStyle w:val="Listenabsatz"/>
        <w:numPr>
          <w:ilvl w:val="0"/>
          <w:numId w:val="49"/>
        </w:numPr>
        <w:ind w:left="426" w:right="72" w:hanging="426"/>
        <w:jc w:val="both"/>
        <w:rPr>
          <w:rFonts w:ascii="Verdana" w:hAnsi="Verdana" w:cs="Arial"/>
          <w:b/>
          <w:color w:val="104815"/>
          <w:sz w:val="20"/>
          <w:szCs w:val="20"/>
        </w:rPr>
      </w:pPr>
      <w:r>
        <w:rPr>
          <w:rFonts w:ascii="Verdana" w:hAnsi="Verdana" w:cs="Arial"/>
          <w:b/>
          <w:color w:val="104815"/>
          <w:sz w:val="20"/>
          <w:szCs w:val="20"/>
        </w:rPr>
        <w:t>Fast 40 % des weißrussischen Raps ausgewintert</w:t>
      </w:r>
    </w:p>
    <w:p w:rsidR="009D3255" w:rsidRPr="00BE38E2" w:rsidRDefault="009D3255" w:rsidP="009D3255">
      <w:pPr>
        <w:pStyle w:val="StandardWeb"/>
        <w:spacing w:before="0" w:beforeAutospacing="0" w:after="0" w:afterAutospacing="0"/>
        <w:ind w:left="426"/>
        <w:jc w:val="both"/>
        <w:rPr>
          <w:rFonts w:ascii="Verdana" w:hAnsi="Verdana"/>
          <w:color w:val="auto"/>
        </w:rPr>
      </w:pPr>
      <w:r w:rsidRPr="00BE38E2">
        <w:rPr>
          <w:rFonts w:ascii="Verdana" w:hAnsi="Verdana"/>
          <w:color w:val="auto"/>
        </w:rPr>
        <w:t xml:space="preserve">In </w:t>
      </w:r>
      <w:hyperlink r:id="rId21" w:history="1">
        <w:r w:rsidRPr="00BE38E2">
          <w:rPr>
            <w:rStyle w:val="Hyperlink"/>
            <w:rFonts w:ascii="Verdana" w:hAnsi="Verdana"/>
            <w:color w:val="auto"/>
          </w:rPr>
          <w:t>Weißrussland</w:t>
        </w:r>
      </w:hyperlink>
      <w:r w:rsidRPr="00BE38E2">
        <w:rPr>
          <w:rFonts w:ascii="Verdana" w:hAnsi="Verdana"/>
          <w:color w:val="auto"/>
        </w:rPr>
        <w:t xml:space="preserve"> ist auch in diesem Jahr nicht mit einer allzu üppigen </w:t>
      </w:r>
      <w:hyperlink r:id="rId22" w:history="1">
        <w:r w:rsidRPr="00BE38E2">
          <w:rPr>
            <w:rStyle w:val="Hyperlink"/>
            <w:rFonts w:ascii="Verdana" w:hAnsi="Verdana"/>
            <w:color w:val="auto"/>
          </w:rPr>
          <w:t>Rapsernte</w:t>
        </w:r>
      </w:hyperlink>
      <w:r w:rsidRPr="00BE38E2">
        <w:rPr>
          <w:rFonts w:ascii="Verdana" w:hAnsi="Verdana"/>
          <w:color w:val="auto"/>
        </w:rPr>
        <w:t xml:space="preserve"> zu rechnen. Wie der stellvertretende </w:t>
      </w:r>
      <w:hyperlink r:id="rId23" w:history="1">
        <w:r w:rsidRPr="00BE38E2">
          <w:rPr>
            <w:rStyle w:val="Hyperlink"/>
            <w:rFonts w:ascii="Verdana" w:hAnsi="Verdana"/>
            <w:color w:val="auto"/>
          </w:rPr>
          <w:t>Landwirtschaftsminister</w:t>
        </w:r>
      </w:hyperlink>
      <w:r w:rsidRPr="00BE38E2">
        <w:rPr>
          <w:rFonts w:ascii="Verdana" w:hAnsi="Verdana"/>
          <w:color w:val="auto"/>
        </w:rPr>
        <w:t xml:space="preserve"> Wladimir </w:t>
      </w:r>
      <w:proofErr w:type="spellStart"/>
      <w:r w:rsidRPr="00BE38E2">
        <w:rPr>
          <w:rFonts w:ascii="Verdana" w:hAnsi="Verdana"/>
          <w:color w:val="auto"/>
        </w:rPr>
        <w:t>Grakun</w:t>
      </w:r>
      <w:proofErr w:type="spellEnd"/>
      <w:r w:rsidRPr="00BE38E2">
        <w:rPr>
          <w:rFonts w:ascii="Verdana" w:hAnsi="Verdana"/>
          <w:color w:val="auto"/>
        </w:rPr>
        <w:t xml:space="preserve"> vor einigen Tagen gegenüber Journalisten in Minsk berichtete, ist der im vergangenen Herbst ausgesäte Winterraps auf 122 000 ha ausgewintert; das entspreche einem Anteil von 38 % an der gesamten Winterrapsaussaat, die auf 316 000 ha erfolgt sei. Die betreffenden Areale würden mit Sommerraps neu bestellt, erklärte </w:t>
      </w:r>
      <w:proofErr w:type="spellStart"/>
      <w:r w:rsidRPr="00BE38E2">
        <w:rPr>
          <w:rFonts w:ascii="Verdana" w:hAnsi="Verdana"/>
          <w:color w:val="auto"/>
        </w:rPr>
        <w:t>Grakun</w:t>
      </w:r>
      <w:proofErr w:type="spellEnd"/>
      <w:r w:rsidRPr="00BE38E2">
        <w:rPr>
          <w:rFonts w:ascii="Verdana" w:hAnsi="Verdana"/>
          <w:color w:val="auto"/>
        </w:rPr>
        <w:t xml:space="preserve">. Saatgut dafür sei in ausreichender Menge vorhanden. </w:t>
      </w:r>
    </w:p>
    <w:p w:rsidR="009D3255" w:rsidRPr="009D3255" w:rsidRDefault="009D3255" w:rsidP="009D3255">
      <w:pPr>
        <w:pStyle w:val="StandardWeb"/>
        <w:spacing w:before="0" w:beforeAutospacing="0" w:after="0" w:afterAutospacing="0"/>
        <w:ind w:left="426"/>
        <w:jc w:val="both"/>
        <w:rPr>
          <w:rFonts w:ascii="Verdana" w:hAnsi="Verdana"/>
          <w:color w:val="auto"/>
        </w:rPr>
      </w:pPr>
      <w:r w:rsidRPr="00BE38E2">
        <w:rPr>
          <w:rFonts w:ascii="Verdana" w:hAnsi="Verdana"/>
          <w:color w:val="auto"/>
        </w:rPr>
        <w:t xml:space="preserve">Dem Vizeminister zufolge erfolgt eine so starke Schädigung der Winterrapssaat wie in diesem Winter „höchstens alle fünf Jahre“. Allerdings war auch schon 2015 die weißrussische </w:t>
      </w:r>
      <w:hyperlink r:id="rId24" w:history="1">
        <w:r w:rsidRPr="00BE38E2">
          <w:rPr>
            <w:rStyle w:val="Hyperlink"/>
            <w:rFonts w:ascii="Verdana" w:hAnsi="Verdana"/>
            <w:color w:val="auto"/>
          </w:rPr>
          <w:t>Rapsernte</w:t>
        </w:r>
      </w:hyperlink>
      <w:r w:rsidRPr="00BE38E2">
        <w:rPr>
          <w:rFonts w:ascii="Verdana" w:hAnsi="Verdana"/>
          <w:color w:val="auto"/>
        </w:rPr>
        <w:t xml:space="preserve"> schlecht ausgefallen. Insgesamt waren im vergangenen Jahr 382 000 t der schwarzen Ölfrucht eingebracht worden, die damit das Ergebnis von 2014 um 348 000 t oder 48 % verfehlte. Ausschlaggebend war dabei jedoch gewesen, dass die Landwirte den Rapsanbau zur Ernte 2015 im Vergleich zum </w:t>
      </w:r>
      <w:r w:rsidRPr="009D3255">
        <w:rPr>
          <w:rFonts w:ascii="Verdana" w:hAnsi="Verdana"/>
          <w:color w:val="222222"/>
        </w:rPr>
        <w:lastRenderedPageBreak/>
        <w:t>Vorjahr um 38 % auf 258 000 ha eingeschränkt hatten; zudem war der Hektarertrag im Mittel mit 15,7 </w:t>
      </w:r>
      <w:proofErr w:type="spellStart"/>
      <w:r w:rsidRPr="009D3255">
        <w:rPr>
          <w:rFonts w:ascii="Verdana" w:hAnsi="Verdana"/>
          <w:color w:val="222222"/>
        </w:rPr>
        <w:t>dt</w:t>
      </w:r>
      <w:proofErr w:type="spellEnd"/>
      <w:r w:rsidRPr="009D3255">
        <w:rPr>
          <w:rFonts w:ascii="Verdana" w:hAnsi="Verdana"/>
          <w:color w:val="222222"/>
        </w:rPr>
        <w:t xml:space="preserve"> um 2,5 </w:t>
      </w:r>
      <w:proofErr w:type="spellStart"/>
      <w:r w:rsidRPr="009D3255">
        <w:rPr>
          <w:rFonts w:ascii="Verdana" w:hAnsi="Verdana"/>
          <w:color w:val="222222"/>
        </w:rPr>
        <w:t>dt</w:t>
      </w:r>
      <w:proofErr w:type="spellEnd"/>
      <w:r w:rsidRPr="009D3255">
        <w:rPr>
          <w:rFonts w:ascii="Verdana" w:hAnsi="Verdana"/>
          <w:color w:val="222222"/>
        </w:rPr>
        <w:t xml:space="preserve"> unter dem Vorjahreswert geblieben. </w:t>
      </w:r>
      <w:r>
        <w:rPr>
          <w:rFonts w:ascii="Verdana" w:hAnsi="Verdana"/>
          <w:color w:val="222222"/>
        </w:rPr>
        <w:t>(</w:t>
      </w:r>
      <w:proofErr w:type="spellStart"/>
      <w:r w:rsidRPr="009D3255">
        <w:rPr>
          <w:rFonts w:ascii="Verdana" w:hAnsi="Verdana"/>
          <w:color w:val="auto"/>
        </w:rPr>
        <w:fldChar w:fldCharType="begin"/>
      </w:r>
      <w:r w:rsidRPr="009D3255">
        <w:rPr>
          <w:rFonts w:ascii="Verdana" w:hAnsi="Verdana"/>
          <w:color w:val="auto"/>
        </w:rPr>
        <w:instrText xml:space="preserve"> HYPERLINK "http://www.topagrar.com/themen/AgE-1775034.html" </w:instrText>
      </w:r>
      <w:r w:rsidRPr="009D3255">
        <w:rPr>
          <w:rFonts w:ascii="Verdana" w:hAnsi="Verdana"/>
          <w:color w:val="auto"/>
        </w:rPr>
        <w:fldChar w:fldCharType="separate"/>
      </w:r>
      <w:r w:rsidRPr="009D3255">
        <w:rPr>
          <w:rStyle w:val="Hyperlink"/>
          <w:rFonts w:ascii="Verdana" w:hAnsi="Verdana"/>
          <w:color w:val="auto"/>
          <w:u w:val="none"/>
        </w:rPr>
        <w:t>AgE</w:t>
      </w:r>
      <w:proofErr w:type="spellEnd"/>
      <w:r w:rsidRPr="009D3255">
        <w:rPr>
          <w:rFonts w:ascii="Verdana" w:hAnsi="Verdana"/>
          <w:color w:val="auto"/>
        </w:rPr>
        <w:fldChar w:fldCharType="end"/>
      </w:r>
      <w:r>
        <w:rPr>
          <w:rFonts w:ascii="Verdana" w:hAnsi="Verdana"/>
          <w:color w:val="auto"/>
        </w:rPr>
        <w:t>)</w:t>
      </w:r>
    </w:p>
    <w:p w:rsidR="00E75C27" w:rsidRDefault="00E75C27" w:rsidP="00E75C27">
      <w:pPr>
        <w:ind w:right="120"/>
        <w:jc w:val="both"/>
        <w:rPr>
          <w:rFonts w:ascii="Verdana" w:hAnsi="Verdana"/>
          <w:sz w:val="20"/>
          <w:szCs w:val="20"/>
        </w:rPr>
      </w:pPr>
    </w:p>
    <w:p w:rsidR="00E75C27" w:rsidRPr="00E75C27" w:rsidRDefault="009D3255" w:rsidP="00E75C27">
      <w:pPr>
        <w:pStyle w:val="Listenabsatz"/>
        <w:numPr>
          <w:ilvl w:val="0"/>
          <w:numId w:val="49"/>
        </w:numPr>
        <w:ind w:left="426" w:right="72" w:hanging="426"/>
        <w:jc w:val="both"/>
        <w:rPr>
          <w:rFonts w:ascii="Verdana" w:hAnsi="Verdana" w:cs="Arial"/>
          <w:b/>
          <w:color w:val="104815"/>
          <w:sz w:val="20"/>
          <w:szCs w:val="20"/>
        </w:rPr>
      </w:pPr>
      <w:r>
        <w:rPr>
          <w:rFonts w:ascii="Verdana" w:hAnsi="Verdana" w:cs="Arial"/>
          <w:b/>
          <w:color w:val="104815"/>
          <w:sz w:val="20"/>
          <w:szCs w:val="20"/>
        </w:rPr>
        <w:t>Polen: ein Viertel der Rapsbestände von Auswinterung betroffen</w:t>
      </w:r>
    </w:p>
    <w:p w:rsidR="00E75C27" w:rsidRPr="009D3255" w:rsidRDefault="009D3255" w:rsidP="009D3255">
      <w:pPr>
        <w:ind w:left="426" w:right="120"/>
        <w:jc w:val="both"/>
        <w:rPr>
          <w:rFonts w:ascii="Verdana" w:hAnsi="Verdana"/>
          <w:sz w:val="20"/>
          <w:szCs w:val="20"/>
        </w:rPr>
      </w:pPr>
      <w:r w:rsidRPr="009D3255">
        <w:rPr>
          <w:rFonts w:ascii="Verdana" w:hAnsi="Verdana"/>
          <w:sz w:val="20"/>
          <w:szCs w:val="20"/>
        </w:rPr>
        <w:t>Die Auswinterungsschäden in den polnischen Getreide- und Rapsbeständen sind offenbar doch größer als bisher angenommen. Wie aus aktuellen Erhebungen des Instituts für Bodenkunde und Pflanzenbau (IUNG) hervorgeht, könnten landesweit bis zu 10 % des Wintergetreides und sogar bis zu 25 % der Rapsbestände von Frostschäden betroffen sein. Aufgrund der großen regionalen und graduellen Unterschiede bei der Auswinterung seien landesweit gültige Aussagen momentan schwierig, betonte das Institut. So seien im Süden des Landes allen</w:t>
      </w:r>
      <w:r w:rsidR="00BE38E2">
        <w:rPr>
          <w:rFonts w:ascii="Verdana" w:hAnsi="Verdana"/>
          <w:sz w:val="20"/>
          <w:szCs w:val="20"/>
        </w:rPr>
        <w:t>falls geringe Verluste aufgetre</w:t>
      </w:r>
      <w:r w:rsidRPr="009D3255">
        <w:rPr>
          <w:rFonts w:ascii="Verdana" w:hAnsi="Verdana"/>
          <w:sz w:val="20"/>
          <w:szCs w:val="20"/>
        </w:rPr>
        <w:t xml:space="preserve">ten, während Kahlfröste in Nordpolen gebietsweise für erhebliche Ausfälle bei Raps, Gerste und auch Weizen gesorgt hätten. Problematisch ist nach Darstellung des Instituts ferner, dass selbst nicht ausgewinterte Bestände in diesen Regionen deutlich geschwächt aus dem Winter gekommen sind. Sollte in den nächsten Wochen der Regen ausbleiben oder Wechselfröste für erneuten </w:t>
      </w:r>
      <w:proofErr w:type="spellStart"/>
      <w:r w:rsidRPr="009D3255">
        <w:rPr>
          <w:rFonts w:ascii="Verdana" w:hAnsi="Verdana"/>
          <w:sz w:val="20"/>
          <w:szCs w:val="20"/>
        </w:rPr>
        <w:t>Pflan-zenstress</w:t>
      </w:r>
      <w:proofErr w:type="spellEnd"/>
      <w:r w:rsidRPr="009D3255">
        <w:rPr>
          <w:rFonts w:ascii="Verdana" w:hAnsi="Verdana"/>
          <w:sz w:val="20"/>
          <w:szCs w:val="20"/>
        </w:rPr>
        <w:t xml:space="preserve"> sorgen, könnten deshalb weitere Flächen irreparabel geschädigt werden. Laut den IUNG-Angaben sind bisher vor allem zahlreiche Winterrapsflä</w:t>
      </w:r>
      <w:r w:rsidR="00BE38E2">
        <w:rPr>
          <w:rFonts w:ascii="Verdana" w:hAnsi="Verdana"/>
          <w:sz w:val="20"/>
          <w:szCs w:val="20"/>
        </w:rPr>
        <w:t>chen umgebrochen worden. Bei Ge</w:t>
      </w:r>
      <w:r w:rsidRPr="009D3255">
        <w:rPr>
          <w:rFonts w:ascii="Verdana" w:hAnsi="Verdana"/>
          <w:sz w:val="20"/>
          <w:szCs w:val="20"/>
        </w:rPr>
        <w:t>treide werde dagegen oft noch die weitere Entwicklung abgewarte</w:t>
      </w:r>
      <w:r w:rsidR="00BE38E2">
        <w:rPr>
          <w:rFonts w:ascii="Verdana" w:hAnsi="Verdana"/>
          <w:sz w:val="20"/>
          <w:szCs w:val="20"/>
        </w:rPr>
        <w:t>t, bevor endgültige Entscheidun</w:t>
      </w:r>
      <w:r w:rsidRPr="009D3255">
        <w:rPr>
          <w:rFonts w:ascii="Verdana" w:hAnsi="Verdana"/>
          <w:sz w:val="20"/>
          <w:szCs w:val="20"/>
        </w:rPr>
        <w:t>gen getroffen würden. Zur abwartenden Haltung dürfte auch der Umstand beitragen, dass Saatgut zur Frühjahrsaussaat aufgrund der vergleichsweise hohen Auswinterungsschäden bereits relativ knapp geworden sei.</w:t>
      </w:r>
    </w:p>
    <w:p w:rsidR="00E75C27" w:rsidRDefault="00E75C27" w:rsidP="00E75C27">
      <w:pPr>
        <w:ind w:right="120"/>
        <w:jc w:val="both"/>
        <w:rPr>
          <w:rFonts w:ascii="Verdana" w:hAnsi="Verdana"/>
          <w:sz w:val="20"/>
          <w:szCs w:val="20"/>
        </w:rPr>
      </w:pPr>
    </w:p>
    <w:p w:rsidR="00E75C27" w:rsidRPr="00E75C27" w:rsidRDefault="009D3255" w:rsidP="00E75C27">
      <w:pPr>
        <w:pStyle w:val="Listenabsatz"/>
        <w:numPr>
          <w:ilvl w:val="0"/>
          <w:numId w:val="49"/>
        </w:numPr>
        <w:ind w:left="426" w:right="72" w:hanging="426"/>
        <w:jc w:val="both"/>
        <w:rPr>
          <w:rFonts w:ascii="Verdana" w:hAnsi="Verdana" w:cs="Arial"/>
          <w:b/>
          <w:color w:val="104815"/>
          <w:sz w:val="20"/>
          <w:szCs w:val="20"/>
        </w:rPr>
      </w:pPr>
      <w:r>
        <w:rPr>
          <w:rFonts w:ascii="Verdana" w:hAnsi="Verdana" w:cs="Arial"/>
          <w:b/>
          <w:color w:val="104815"/>
          <w:sz w:val="20"/>
          <w:szCs w:val="20"/>
        </w:rPr>
        <w:t>Raps hat in der Ukraine gelitten</w:t>
      </w:r>
    </w:p>
    <w:p w:rsidR="00E75C27" w:rsidRPr="00674D5D" w:rsidRDefault="009D3255" w:rsidP="009D3255">
      <w:pPr>
        <w:ind w:left="426" w:right="120"/>
        <w:jc w:val="both"/>
        <w:rPr>
          <w:rFonts w:ascii="Verdana" w:hAnsi="Verdana"/>
          <w:sz w:val="20"/>
          <w:szCs w:val="20"/>
        </w:rPr>
      </w:pPr>
      <w:r w:rsidRPr="00674D5D">
        <w:rPr>
          <w:rFonts w:ascii="Verdana" w:hAnsi="Verdana"/>
          <w:sz w:val="20"/>
          <w:szCs w:val="20"/>
        </w:rPr>
        <w:t>Auf der Nordhalbkugel ist Winterraps seit Monaten im Boden und zeigt nun, wie er den Winter überstanden hat. Dabei waren die Schäden in diesem Jahr nur in einigen Regionen stärker als üblich. In einigen Ländern stand bereits die Aussaat unter keinem guten Stern.</w:t>
      </w:r>
    </w:p>
    <w:p w:rsidR="009D3255" w:rsidRDefault="009D3255" w:rsidP="009D3255">
      <w:pPr>
        <w:ind w:left="426" w:right="120"/>
        <w:jc w:val="both"/>
        <w:rPr>
          <w:rFonts w:ascii="Verdana" w:hAnsi="Verdana"/>
          <w:sz w:val="20"/>
          <w:szCs w:val="20"/>
        </w:rPr>
      </w:pPr>
      <w:r>
        <w:rPr>
          <w:rFonts w:ascii="Verdana" w:hAnsi="Verdana"/>
          <w:noProof/>
          <w:sz w:val="20"/>
          <w:szCs w:val="20"/>
        </w:rPr>
        <w:drawing>
          <wp:inline distT="0" distB="0" distL="0" distR="0">
            <wp:extent cx="5760720" cy="3800844"/>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00844"/>
                    </a:xfrm>
                    <a:prstGeom prst="rect">
                      <a:avLst/>
                    </a:prstGeom>
                    <a:noFill/>
                    <a:ln>
                      <a:noFill/>
                    </a:ln>
                  </pic:spPr>
                </pic:pic>
              </a:graphicData>
            </a:graphic>
          </wp:inline>
        </w:drawing>
      </w:r>
    </w:p>
    <w:p w:rsidR="00674D5D" w:rsidRDefault="00674D5D" w:rsidP="009D3255">
      <w:pPr>
        <w:ind w:left="426" w:right="120"/>
        <w:jc w:val="both"/>
        <w:rPr>
          <w:rFonts w:ascii="Verdana" w:hAnsi="Verdana"/>
          <w:sz w:val="20"/>
          <w:szCs w:val="20"/>
        </w:rPr>
      </w:pPr>
      <w:r w:rsidRPr="00674D5D">
        <w:rPr>
          <w:rFonts w:ascii="Verdana" w:hAnsi="Verdana"/>
          <w:sz w:val="20"/>
          <w:szCs w:val="20"/>
        </w:rPr>
        <w:t xml:space="preserve">So wird vor allem in der Ukraine zur Ernte 2016 eine deutlich geringere Rapsfläche prognostiziert. Trockenheit hatte die Aussaat empfindlich beeinträchtigt und auch für einen überdurchschnittlichen Ausfall über den Winter gesorgt. Dort könnte nach Angaben der Agrarmarkt Informations-Gesellschaft (mbH) möglicherweise ein Viertel weniger Raps angebaut worden sein als im Vorjahr. Zwar wird ein Teil der </w:t>
      </w:r>
      <w:r w:rsidRPr="00674D5D">
        <w:rPr>
          <w:rFonts w:ascii="Verdana" w:hAnsi="Verdana"/>
          <w:sz w:val="20"/>
          <w:szCs w:val="20"/>
        </w:rPr>
        <w:lastRenderedPageBreak/>
        <w:t>Ausfälle mit Sommerraps nachgesät, aber dessen Erträge kommen nicht an Winterraps heran. In Polen hat der kalte Winter für überdurchschnittliche Auswinterungsschäden gesorgt, in Großbritannien litten die Feldbestände unter zu viel Wasser. Dennoch wird EU-weit eine Ausdehnung der Winterrapsfläche prognostiziert. In China wird die Rapsfläche wohl wegen der geringen Wettbewerbsfähigkeit gegenüber andern Kulturen zurückgehen. Aus genau dem gegenteiligen Grund wird in Kanada eine größere Som</w:t>
      </w:r>
      <w:r>
        <w:rPr>
          <w:rFonts w:ascii="Verdana" w:hAnsi="Verdana"/>
          <w:sz w:val="20"/>
          <w:szCs w:val="20"/>
        </w:rPr>
        <w:t xml:space="preserve">merrapsfläche avisiert. </w:t>
      </w:r>
    </w:p>
    <w:p w:rsidR="00674D5D" w:rsidRPr="00674D5D" w:rsidRDefault="00674D5D" w:rsidP="009D3255">
      <w:pPr>
        <w:ind w:left="426" w:right="120"/>
        <w:jc w:val="both"/>
        <w:rPr>
          <w:rFonts w:ascii="Verdana" w:hAnsi="Verdana"/>
          <w:sz w:val="20"/>
          <w:szCs w:val="20"/>
        </w:rPr>
      </w:pPr>
      <w:r>
        <w:rPr>
          <w:rFonts w:ascii="Verdana" w:hAnsi="Verdana"/>
          <w:sz w:val="20"/>
          <w:szCs w:val="20"/>
        </w:rPr>
        <w:t>(</w:t>
      </w:r>
      <w:r w:rsidRPr="00674D5D">
        <w:rPr>
          <w:rFonts w:ascii="Verdana" w:hAnsi="Verdana"/>
          <w:sz w:val="20"/>
          <w:szCs w:val="20"/>
        </w:rPr>
        <w:t>UFOP</w:t>
      </w:r>
      <w:r>
        <w:rPr>
          <w:rFonts w:ascii="Verdana" w:hAnsi="Verdana"/>
          <w:sz w:val="20"/>
          <w:szCs w:val="20"/>
        </w:rPr>
        <w:t>)</w:t>
      </w:r>
    </w:p>
    <w:p w:rsidR="00E75C27" w:rsidRPr="00674D5D" w:rsidRDefault="00E75C27" w:rsidP="00E75C27">
      <w:pPr>
        <w:ind w:right="120"/>
        <w:jc w:val="both"/>
        <w:rPr>
          <w:rFonts w:ascii="Verdana" w:hAnsi="Verdana"/>
          <w:sz w:val="20"/>
          <w:szCs w:val="20"/>
        </w:rPr>
      </w:pPr>
    </w:p>
    <w:p w:rsidR="009C7DF1" w:rsidRPr="00C33F45" w:rsidRDefault="009C7DF1" w:rsidP="00CE0BB6">
      <w:pPr>
        <w:ind w:right="120"/>
        <w:jc w:val="both"/>
        <w:rPr>
          <w:rFonts w:ascii="Verdana" w:hAnsi="Verdana" w:cs="Arial"/>
          <w:sz w:val="20"/>
          <w:szCs w:val="20"/>
        </w:rPr>
      </w:pPr>
    </w:p>
    <w:p w:rsidR="003B6BA0" w:rsidRPr="006246AA" w:rsidRDefault="00F954E2" w:rsidP="003B6BA0">
      <w:pPr>
        <w:ind w:right="72"/>
        <w:jc w:val="both"/>
        <w:rPr>
          <w:rFonts w:ascii="Verdana" w:hAnsi="Verdana" w:cs="Arial"/>
          <w:b/>
          <w:color w:val="104815"/>
          <w:sz w:val="28"/>
          <w:szCs w:val="28"/>
          <w:u w:val="single"/>
        </w:rPr>
      </w:pPr>
      <w:r w:rsidRPr="006246AA">
        <w:rPr>
          <w:rFonts w:ascii="Verdana" w:hAnsi="Verdana" w:cs="Arial"/>
          <w:b/>
          <w:color w:val="104815"/>
          <w:sz w:val="28"/>
          <w:szCs w:val="28"/>
          <w:u w:val="single"/>
        </w:rPr>
        <w:t xml:space="preserve">4. </w:t>
      </w:r>
      <w:r w:rsidR="00674D5D">
        <w:rPr>
          <w:rFonts w:ascii="Verdana" w:hAnsi="Verdana" w:cs="Arial"/>
          <w:b/>
          <w:color w:val="104815"/>
          <w:sz w:val="28"/>
          <w:szCs w:val="28"/>
          <w:u w:val="single"/>
        </w:rPr>
        <w:t>Pflanzenschutz/Düngung</w:t>
      </w:r>
    </w:p>
    <w:p w:rsidR="00F4667F" w:rsidRPr="006246AA" w:rsidRDefault="00F4667F" w:rsidP="00F4667F">
      <w:pPr>
        <w:ind w:right="72"/>
        <w:jc w:val="both"/>
        <w:rPr>
          <w:rFonts w:ascii="Verdana" w:hAnsi="Verdana" w:cs="Arial"/>
          <w:b/>
          <w:color w:val="104815"/>
          <w:sz w:val="22"/>
          <w:szCs w:val="22"/>
        </w:rPr>
      </w:pPr>
      <w:r w:rsidRPr="006246AA">
        <w:rPr>
          <w:rFonts w:ascii="Verdana" w:hAnsi="Verdana" w:cs="Arial"/>
          <w:b/>
          <w:color w:val="104815"/>
          <w:sz w:val="22"/>
          <w:szCs w:val="22"/>
        </w:rPr>
        <w:t xml:space="preserve">4.1. </w:t>
      </w:r>
      <w:r w:rsidR="00674D5D">
        <w:rPr>
          <w:rFonts w:ascii="Verdana" w:hAnsi="Verdana" w:cs="Arial"/>
          <w:b/>
          <w:color w:val="104815"/>
          <w:sz w:val="22"/>
          <w:szCs w:val="22"/>
        </w:rPr>
        <w:t>Pflanzenschutzmittel: Umsatz war 2015 leicht rückläufig</w:t>
      </w:r>
    </w:p>
    <w:p w:rsidR="00674D5D" w:rsidRPr="00674D5D" w:rsidRDefault="00674D5D" w:rsidP="00674D5D">
      <w:pPr>
        <w:spacing w:line="240" w:lineRule="atLeast"/>
        <w:jc w:val="both"/>
        <w:rPr>
          <w:rFonts w:ascii="Verdana" w:hAnsi="Verdana" w:cs="Helvetica"/>
          <w:sz w:val="20"/>
          <w:szCs w:val="20"/>
        </w:rPr>
      </w:pPr>
      <w:r w:rsidRPr="00674D5D">
        <w:rPr>
          <w:rFonts w:ascii="Verdana" w:hAnsi="Verdana" w:cs="Helvetica"/>
          <w:sz w:val="20"/>
          <w:szCs w:val="20"/>
        </w:rPr>
        <w:t>Im Wirtschaftsjahr 2015 ist im Vergleich zu den vergangenen fünf Jahren der Verkauf von Pflanzenschutzmitteln wertmäßig leicht zurückgegangen. Der Nettoinlandsumsatz zum 31. Dezember 2015 betrug 1,592 Mrd. Euro.</w:t>
      </w:r>
    </w:p>
    <w:p w:rsidR="00674D5D" w:rsidRPr="00674D5D" w:rsidRDefault="00674D5D" w:rsidP="00674D5D">
      <w:pPr>
        <w:spacing w:before="100" w:beforeAutospacing="1" w:after="100" w:afterAutospacing="1" w:line="240" w:lineRule="atLeast"/>
        <w:rPr>
          <w:rFonts w:ascii="Helvetica" w:hAnsi="Helvetica" w:cs="Helvetica"/>
          <w:sz w:val="18"/>
          <w:szCs w:val="18"/>
          <w:lang w:val="en"/>
        </w:rPr>
      </w:pPr>
      <w:r>
        <w:rPr>
          <w:rFonts w:ascii="Helvetica" w:hAnsi="Helvetica" w:cs="Helvetica"/>
          <w:noProof/>
          <w:color w:val="0000FF"/>
          <w:sz w:val="18"/>
          <w:szCs w:val="18"/>
        </w:rPr>
        <w:drawing>
          <wp:inline distT="0" distB="0" distL="0" distR="0">
            <wp:extent cx="2242185" cy="2973705"/>
            <wp:effectExtent l="0" t="0" r="5715" b="0"/>
            <wp:docPr id="8" name="Grafik 8" descr="C:\Alle\Nordost\Info`s\Mitgliederinfo\2016\Mitglieder-Info 04.2016\agrarticker PSM Markt_de-Dateien\thumb_small_pflanzenschutzmarkt_gros.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e\Nordost\Info`s\Mitgliederinfo\2016\Mitglieder-Info 04.2016\agrarticker PSM Markt_de-Dateien\thumb_small_pflanzenschutzmarkt_gros.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2185" cy="2973705"/>
                    </a:xfrm>
                    <a:prstGeom prst="rect">
                      <a:avLst/>
                    </a:prstGeom>
                    <a:noFill/>
                    <a:ln>
                      <a:noFill/>
                    </a:ln>
                  </pic:spPr>
                </pic:pic>
              </a:graphicData>
            </a:graphic>
          </wp:inline>
        </w:drawing>
      </w:r>
    </w:p>
    <w:p w:rsidR="00674D5D" w:rsidRPr="00674D5D" w:rsidRDefault="00674D5D" w:rsidP="00674D5D">
      <w:pPr>
        <w:spacing w:line="240" w:lineRule="atLeast"/>
        <w:jc w:val="both"/>
        <w:rPr>
          <w:rFonts w:ascii="Verdana" w:hAnsi="Verdana" w:cs="Helvetica"/>
          <w:sz w:val="20"/>
          <w:szCs w:val="20"/>
        </w:rPr>
      </w:pPr>
      <w:r w:rsidRPr="00674D5D">
        <w:rPr>
          <w:rFonts w:ascii="Verdana" w:hAnsi="Verdana" w:cs="Helvetica"/>
          <w:sz w:val="20"/>
          <w:szCs w:val="20"/>
        </w:rPr>
        <w:t>Das bedeutet im Vergleich zum Vorjahr mit 1,6 Mrd. Euro einen Rückgang von 0,5 Prozent im Direktgeschäft zwischen den im Industrieverband Agrar (IVA) organisierten Unternehmen der deutschen Pflanzenschutz-Industrie und dem Pflanzenschutz-Großhandel. Diese Zahlen gehen aus dem jetzt vorgelegten Jahresbericht 2015 des IVA hervor. Dort heißt es im Einzelnen:</w:t>
      </w:r>
      <w:r w:rsidRPr="00674D5D">
        <w:rPr>
          <w:rFonts w:ascii="Verdana" w:hAnsi="Verdana" w:cs="Helvetica"/>
          <w:sz w:val="20"/>
          <w:szCs w:val="20"/>
        </w:rPr>
        <w:br/>
      </w:r>
      <w:r w:rsidRPr="00674D5D">
        <w:rPr>
          <w:rFonts w:ascii="Verdana" w:hAnsi="Verdana" w:cs="Helvetica"/>
          <w:sz w:val="20"/>
          <w:szCs w:val="20"/>
        </w:rPr>
        <w:br/>
      </w:r>
      <w:r w:rsidRPr="00674D5D">
        <w:rPr>
          <w:rFonts w:ascii="Verdana" w:hAnsi="Verdana" w:cs="Helvetica"/>
          <w:b/>
          <w:bCs/>
          <w:sz w:val="20"/>
          <w:szCs w:val="20"/>
        </w:rPr>
        <w:t>Herbizide</w:t>
      </w:r>
    </w:p>
    <w:p w:rsidR="00674D5D" w:rsidRPr="00674D5D" w:rsidRDefault="00674D5D" w:rsidP="00674D5D">
      <w:pPr>
        <w:spacing w:line="240" w:lineRule="atLeast"/>
        <w:jc w:val="both"/>
        <w:rPr>
          <w:rFonts w:ascii="Verdana" w:hAnsi="Verdana" w:cs="Helvetica"/>
          <w:sz w:val="20"/>
          <w:szCs w:val="20"/>
        </w:rPr>
      </w:pPr>
      <w:r w:rsidRPr="00674D5D">
        <w:rPr>
          <w:rFonts w:ascii="Verdana" w:hAnsi="Verdana" w:cs="Helvetica"/>
          <w:sz w:val="20"/>
          <w:szCs w:val="20"/>
        </w:rPr>
        <w:t xml:space="preserve">Der Herbizidumsatz ist im Vergleich zum Vorjahr um 6,3 Prozent auf 636 Mio. Euro gesunken. Das Marktumfeld war gekennzeichnet von der in der medialen Öffentlichkeit sehr intensiv geführten Debatte um den Wirkstoff Glyphosat. </w:t>
      </w:r>
      <w:r w:rsidRPr="00674D5D">
        <w:rPr>
          <w:rFonts w:ascii="Verdana" w:hAnsi="Verdana" w:cs="Helvetica"/>
          <w:sz w:val="20"/>
          <w:szCs w:val="20"/>
        </w:rPr>
        <w:br/>
      </w:r>
      <w:r w:rsidRPr="00674D5D">
        <w:rPr>
          <w:rFonts w:ascii="Verdana" w:hAnsi="Verdana" w:cs="Helvetica"/>
          <w:sz w:val="20"/>
          <w:szCs w:val="20"/>
        </w:rPr>
        <w:br/>
      </w:r>
      <w:r w:rsidRPr="00674D5D">
        <w:rPr>
          <w:rFonts w:ascii="Verdana" w:hAnsi="Verdana" w:cs="Helvetica"/>
          <w:b/>
          <w:bCs/>
          <w:sz w:val="20"/>
          <w:szCs w:val="20"/>
        </w:rPr>
        <w:t>Fungizide</w:t>
      </w:r>
    </w:p>
    <w:p w:rsidR="00674D5D" w:rsidRPr="00674D5D" w:rsidRDefault="00674D5D" w:rsidP="00674D5D">
      <w:pPr>
        <w:spacing w:line="240" w:lineRule="atLeast"/>
        <w:jc w:val="both"/>
        <w:rPr>
          <w:rFonts w:ascii="Verdana" w:hAnsi="Verdana" w:cs="Helvetica"/>
          <w:sz w:val="20"/>
          <w:szCs w:val="20"/>
        </w:rPr>
      </w:pPr>
      <w:r w:rsidRPr="00674D5D">
        <w:rPr>
          <w:rFonts w:ascii="Verdana" w:hAnsi="Verdana" w:cs="Helvetica"/>
          <w:sz w:val="20"/>
          <w:szCs w:val="20"/>
        </w:rPr>
        <w:t>Der Fungizidumsatz stieg im Vergleich zum Vorjahr um 5,0 Prozent auf 711 Mio. Euro. Dies beruht insbesondere auf einer verstärkten Nachfrage auf allen Handelsebenen und der Landwirtschaft. Der Gesamtverbrauch von Getreidefungiziden ist im Vergleich zu 2014 gesunken. Die Verkäufe an den Großhandel lagen aber noch über dem hohen Niveau des Vorjahres, was zu einem Lagerbestandsaufbau auf allen Handelsebenen geführt hat.</w:t>
      </w:r>
    </w:p>
    <w:p w:rsidR="00674D5D" w:rsidRPr="00674D5D" w:rsidRDefault="00674D5D" w:rsidP="00BE38E2">
      <w:pPr>
        <w:spacing w:line="240" w:lineRule="atLeast"/>
        <w:rPr>
          <w:rFonts w:ascii="Verdana" w:hAnsi="Verdana" w:cs="Helvetica"/>
          <w:sz w:val="20"/>
          <w:szCs w:val="20"/>
        </w:rPr>
      </w:pPr>
      <w:r w:rsidRPr="00674D5D">
        <w:rPr>
          <w:rFonts w:ascii="Verdana" w:hAnsi="Verdana" w:cs="Helvetica"/>
          <w:sz w:val="20"/>
          <w:szCs w:val="20"/>
        </w:rPr>
        <w:t xml:space="preserve">In den frühen Entwicklungsstadien entstand zeitig Behandlungsbedarf vor allem gegen Gelbrost, wobei der Krankheitsdruck nicht mit dem des Vorjahres vergleichbar war. Mit dem Einsetzen der Niederschläge Ende April musste auch gegen weitere </w:t>
      </w:r>
      <w:r w:rsidRPr="00674D5D">
        <w:rPr>
          <w:rFonts w:ascii="Verdana" w:hAnsi="Verdana" w:cs="Helvetica"/>
          <w:sz w:val="20"/>
          <w:szCs w:val="20"/>
        </w:rPr>
        <w:lastRenderedPageBreak/>
        <w:t>Getreidekrankheiten behandelt werden, wobei sich der Behandlungsdruck erst allmählich aufbaute. Der Befall durch Septoria und Rost lag in Norddeutschland auf einem sehr hohen Niveau.</w:t>
      </w:r>
      <w:r w:rsidRPr="00674D5D">
        <w:rPr>
          <w:rFonts w:ascii="Verdana" w:hAnsi="Verdana" w:cs="Helvetica"/>
          <w:sz w:val="20"/>
          <w:szCs w:val="20"/>
        </w:rPr>
        <w:br/>
      </w:r>
      <w:r w:rsidRPr="00674D5D">
        <w:rPr>
          <w:rFonts w:ascii="Verdana" w:hAnsi="Verdana" w:cs="Helvetica"/>
          <w:sz w:val="20"/>
          <w:szCs w:val="20"/>
        </w:rPr>
        <w:br/>
      </w:r>
      <w:r w:rsidRPr="00674D5D">
        <w:rPr>
          <w:rFonts w:ascii="Verdana" w:hAnsi="Verdana" w:cs="Helvetica"/>
          <w:b/>
          <w:bCs/>
          <w:sz w:val="20"/>
          <w:szCs w:val="20"/>
        </w:rPr>
        <w:t>Insektizide</w:t>
      </w:r>
    </w:p>
    <w:p w:rsidR="00674D5D" w:rsidRPr="00674D5D" w:rsidRDefault="00674D5D" w:rsidP="00BE38E2">
      <w:pPr>
        <w:spacing w:line="240" w:lineRule="atLeast"/>
        <w:rPr>
          <w:rFonts w:ascii="Verdana" w:hAnsi="Verdana" w:cs="Helvetica"/>
          <w:sz w:val="20"/>
          <w:szCs w:val="20"/>
        </w:rPr>
      </w:pPr>
      <w:r w:rsidRPr="00674D5D">
        <w:rPr>
          <w:rFonts w:ascii="Verdana" w:hAnsi="Verdana" w:cs="Helvetica"/>
          <w:sz w:val="20"/>
          <w:szCs w:val="20"/>
        </w:rPr>
        <w:t>Der Insektizidumsatz liegt im Vergleich zum Vorjahr mit 134 Mio. Euro um 10,7 Prozent unter dem Wert des Vorjahres. In den Rapskulturen traten im Frühjahr Rapsglanzkäfer und Rüssler seltener auf als im Vorjahr. Im Herbst standen im Raps keine neonikotinoidhaltigen Beizen zur Verfügung. Allerdings musste der Rapserdfloh 2015 weniger intensiv bekämpft werden als 2014. Insektizidanwendungen im Getreide konnten im Frühjahr 2015 reduziert werden, da Blattläuse seltener auftraten als im Durchschnitt der vergangenen Jahre.</w:t>
      </w:r>
      <w:r w:rsidRPr="00674D5D">
        <w:rPr>
          <w:rFonts w:ascii="Verdana" w:hAnsi="Verdana" w:cs="Helvetica"/>
          <w:sz w:val="20"/>
          <w:szCs w:val="20"/>
        </w:rPr>
        <w:br/>
      </w:r>
      <w:r w:rsidRPr="00674D5D">
        <w:rPr>
          <w:rFonts w:ascii="Verdana" w:hAnsi="Verdana" w:cs="Helvetica"/>
          <w:sz w:val="20"/>
          <w:szCs w:val="20"/>
        </w:rPr>
        <w:br/>
      </w:r>
      <w:r w:rsidRPr="00674D5D">
        <w:rPr>
          <w:rFonts w:ascii="Verdana" w:hAnsi="Verdana" w:cs="Helvetica"/>
          <w:b/>
          <w:bCs/>
          <w:sz w:val="20"/>
          <w:szCs w:val="20"/>
        </w:rPr>
        <w:t>Sonstige Pflanzenschutzmittel</w:t>
      </w:r>
    </w:p>
    <w:p w:rsidR="00674D5D" w:rsidRPr="00674D5D" w:rsidRDefault="00674D5D" w:rsidP="00674D5D">
      <w:pPr>
        <w:spacing w:line="240" w:lineRule="atLeast"/>
        <w:jc w:val="both"/>
        <w:rPr>
          <w:rFonts w:ascii="Verdana" w:hAnsi="Verdana" w:cs="Helvetica"/>
          <w:sz w:val="20"/>
          <w:szCs w:val="20"/>
        </w:rPr>
      </w:pPr>
      <w:r w:rsidRPr="00674D5D">
        <w:rPr>
          <w:rFonts w:ascii="Verdana" w:hAnsi="Verdana" w:cs="Helvetica"/>
          <w:sz w:val="20"/>
          <w:szCs w:val="20"/>
        </w:rPr>
        <w:t xml:space="preserve">Der Umsatz der „sonstigen“ Pflanzenschutzmittel wie beispielsweise Wachstumsregulatoren, Rodentizide (Mittel zur Bekämpfung von Nagetieren) und Schneckenmittel (Molluskizide) stieg um 18,1 Prozent auf 111 Mio. Euro. Bei den Wachstumsregulatoren haben der „normale“ Vegetationsstart und die geringen Warenbestände in der Distribution zu einem frühen Bedarf geführt. </w:t>
      </w:r>
      <w:r>
        <w:rPr>
          <w:rFonts w:ascii="Verdana" w:hAnsi="Verdana" w:cs="Helvetica"/>
          <w:sz w:val="20"/>
          <w:szCs w:val="20"/>
        </w:rPr>
        <w:t>(</w:t>
      </w:r>
      <w:proofErr w:type="spellStart"/>
      <w:r w:rsidRPr="00674D5D">
        <w:rPr>
          <w:rFonts w:ascii="Verdana" w:hAnsi="Verdana" w:cs="Helvetica"/>
          <w:i/>
          <w:iCs/>
          <w:sz w:val="20"/>
          <w:szCs w:val="20"/>
        </w:rPr>
        <w:t>agt</w:t>
      </w:r>
      <w:proofErr w:type="spellEnd"/>
      <w:r>
        <w:rPr>
          <w:rFonts w:ascii="Verdana" w:hAnsi="Verdana" w:cs="Helvetica"/>
          <w:i/>
          <w:iCs/>
          <w:sz w:val="20"/>
          <w:szCs w:val="20"/>
        </w:rPr>
        <w:t>)</w:t>
      </w:r>
    </w:p>
    <w:p w:rsidR="00653AFD" w:rsidRDefault="00653AFD" w:rsidP="00653AFD">
      <w:pPr>
        <w:ind w:right="-60"/>
        <w:jc w:val="both"/>
        <w:rPr>
          <w:rFonts w:ascii="Verdana" w:hAnsi="Verdana"/>
          <w:sz w:val="20"/>
          <w:szCs w:val="20"/>
        </w:rPr>
      </w:pPr>
    </w:p>
    <w:p w:rsidR="00674D5D" w:rsidRPr="00653AFD" w:rsidRDefault="00674D5D" w:rsidP="00653AFD">
      <w:pPr>
        <w:ind w:right="-60"/>
        <w:jc w:val="both"/>
        <w:rPr>
          <w:rFonts w:ascii="Verdana" w:hAnsi="Verdana"/>
          <w:sz w:val="20"/>
          <w:szCs w:val="20"/>
        </w:rPr>
      </w:pPr>
    </w:p>
    <w:p w:rsidR="00F4667F" w:rsidRDefault="00F4667F" w:rsidP="00F4667F">
      <w:pPr>
        <w:ind w:right="72"/>
        <w:jc w:val="both"/>
        <w:rPr>
          <w:rFonts w:ascii="Verdana" w:hAnsi="Verdana" w:cs="Arial"/>
          <w:b/>
          <w:color w:val="104815"/>
          <w:sz w:val="22"/>
          <w:szCs w:val="22"/>
        </w:rPr>
      </w:pPr>
      <w:r w:rsidRPr="006246AA">
        <w:rPr>
          <w:rFonts w:ascii="Verdana" w:hAnsi="Verdana" w:cs="Arial"/>
          <w:b/>
          <w:color w:val="104815"/>
          <w:sz w:val="22"/>
          <w:szCs w:val="22"/>
        </w:rPr>
        <w:t xml:space="preserve">4.2. </w:t>
      </w:r>
      <w:r w:rsidR="00674D5D">
        <w:rPr>
          <w:rFonts w:ascii="Verdana" w:hAnsi="Verdana" w:cs="Arial"/>
          <w:b/>
          <w:color w:val="104815"/>
          <w:sz w:val="22"/>
          <w:szCs w:val="22"/>
        </w:rPr>
        <w:t>Zulassung von Glyphosat:</w:t>
      </w:r>
    </w:p>
    <w:p w:rsidR="00674D5D" w:rsidRPr="006246AA" w:rsidRDefault="00674D5D" w:rsidP="00F4667F">
      <w:pPr>
        <w:ind w:right="72"/>
        <w:jc w:val="both"/>
        <w:rPr>
          <w:rFonts w:ascii="Verdana" w:hAnsi="Verdana" w:cs="Arial"/>
          <w:b/>
          <w:color w:val="104815"/>
          <w:sz w:val="22"/>
          <w:szCs w:val="22"/>
        </w:rPr>
      </w:pPr>
      <w:r>
        <w:rPr>
          <w:rFonts w:ascii="Verdana" w:hAnsi="Verdana" w:cs="Arial"/>
          <w:b/>
          <w:color w:val="104815"/>
          <w:sz w:val="22"/>
          <w:szCs w:val="22"/>
        </w:rPr>
        <w:t>EU-Parlament empfiehlt sieben anstatt 15 Jahre</w:t>
      </w:r>
    </w:p>
    <w:p w:rsidR="00674D5D" w:rsidRPr="00674D5D" w:rsidRDefault="00674D5D" w:rsidP="00674D5D">
      <w:pPr>
        <w:pStyle w:val="Default"/>
        <w:jc w:val="both"/>
        <w:rPr>
          <w:rFonts w:ascii="Verdana" w:hAnsi="Verdana"/>
          <w:sz w:val="20"/>
          <w:szCs w:val="20"/>
        </w:rPr>
      </w:pPr>
      <w:r w:rsidRPr="00674D5D">
        <w:rPr>
          <w:rFonts w:ascii="Verdana" w:hAnsi="Verdana"/>
          <w:sz w:val="20"/>
          <w:szCs w:val="20"/>
        </w:rPr>
        <w:t>Das Europäische Parlament hat keine Bedenken, einer Verlängerung der Zulassung des Pflanzenschutzmittels Glyphosat zuzustimmen. Entgegen dem Vorschlag der EU-Kommission soll di</w:t>
      </w:r>
      <w:r w:rsidR="00BE38E2">
        <w:rPr>
          <w:rFonts w:ascii="Verdana" w:hAnsi="Verdana"/>
          <w:sz w:val="20"/>
          <w:szCs w:val="20"/>
        </w:rPr>
        <w:t>e Zulassung aber auf sieben Jah</w:t>
      </w:r>
      <w:r w:rsidRPr="00674D5D">
        <w:rPr>
          <w:rFonts w:ascii="Verdana" w:hAnsi="Verdana"/>
          <w:sz w:val="20"/>
          <w:szCs w:val="20"/>
        </w:rPr>
        <w:t>re beschränkt werden und</w:t>
      </w:r>
      <w:r w:rsidR="00BE38E2">
        <w:rPr>
          <w:rFonts w:ascii="Verdana" w:hAnsi="Verdana"/>
          <w:sz w:val="20"/>
          <w:szCs w:val="20"/>
        </w:rPr>
        <w:t xml:space="preserve"> nicht für 15 Jahre erteilt wer</w:t>
      </w:r>
      <w:r w:rsidRPr="00674D5D">
        <w:rPr>
          <w:rFonts w:ascii="Verdana" w:hAnsi="Verdana"/>
          <w:sz w:val="20"/>
          <w:szCs w:val="20"/>
        </w:rPr>
        <w:t xml:space="preserve">den. </w:t>
      </w:r>
    </w:p>
    <w:p w:rsidR="00674D5D" w:rsidRPr="00674D5D" w:rsidRDefault="00674D5D" w:rsidP="00674D5D">
      <w:pPr>
        <w:pStyle w:val="Default"/>
        <w:jc w:val="both"/>
        <w:rPr>
          <w:rFonts w:ascii="Verdana" w:hAnsi="Verdana"/>
          <w:sz w:val="20"/>
          <w:szCs w:val="20"/>
        </w:rPr>
      </w:pPr>
      <w:r w:rsidRPr="00674D5D">
        <w:rPr>
          <w:rFonts w:ascii="Verdana" w:hAnsi="Verdana"/>
          <w:sz w:val="20"/>
          <w:szCs w:val="20"/>
        </w:rPr>
        <w:t xml:space="preserve">In der am 13.04.2016 </w:t>
      </w:r>
      <w:r w:rsidR="00BE38E2">
        <w:rPr>
          <w:rFonts w:ascii="Verdana" w:hAnsi="Verdana"/>
          <w:sz w:val="20"/>
          <w:szCs w:val="20"/>
        </w:rPr>
        <w:t>verabschiedeten Erklärung knüpf</w:t>
      </w:r>
      <w:r w:rsidRPr="00674D5D">
        <w:rPr>
          <w:rFonts w:ascii="Verdana" w:hAnsi="Verdana"/>
          <w:sz w:val="20"/>
          <w:szCs w:val="20"/>
        </w:rPr>
        <w:t>ten die EU-Parlamentarier die Zulassung zudem an Bedingungen. Sie verlangen eine unabhängige Untersuchung und die Veröffentlichung aller von der EU-Agentur für Lebensmittelsicherheit EFSA zur Bewertung von Glyphosat herangezogenen wissenschaftlichen Unterlagen. Ferner dürfe der Stoff nur für die professio</w:t>
      </w:r>
      <w:r w:rsidR="00BE38E2">
        <w:rPr>
          <w:rFonts w:ascii="Verdana" w:hAnsi="Verdana"/>
          <w:sz w:val="20"/>
          <w:szCs w:val="20"/>
        </w:rPr>
        <w:t>nelle Nutzung zugelas</w:t>
      </w:r>
      <w:r w:rsidRPr="00674D5D">
        <w:rPr>
          <w:rFonts w:ascii="Verdana" w:hAnsi="Verdana"/>
          <w:sz w:val="20"/>
          <w:szCs w:val="20"/>
        </w:rPr>
        <w:t xml:space="preserve">sen werden, nicht aber für die Verwendung in öffentlichen Parks oder auf Spielplätzen. </w:t>
      </w:r>
    </w:p>
    <w:p w:rsidR="00674D5D" w:rsidRPr="00674D5D" w:rsidRDefault="00674D5D" w:rsidP="00674D5D">
      <w:pPr>
        <w:pStyle w:val="Default"/>
        <w:jc w:val="both"/>
        <w:rPr>
          <w:rFonts w:ascii="Verdana" w:hAnsi="Verdana"/>
          <w:sz w:val="20"/>
          <w:szCs w:val="20"/>
        </w:rPr>
      </w:pPr>
      <w:r w:rsidRPr="00674D5D">
        <w:rPr>
          <w:rFonts w:ascii="Verdana" w:hAnsi="Verdana"/>
          <w:sz w:val="20"/>
          <w:szCs w:val="20"/>
        </w:rPr>
        <w:t xml:space="preserve">In der Erklärung wird die Kommission auch dazu aufgerufen, </w:t>
      </w:r>
      <w:r w:rsidR="00BE38E2">
        <w:rPr>
          <w:rFonts w:ascii="Verdana" w:hAnsi="Verdana"/>
          <w:sz w:val="20"/>
          <w:szCs w:val="20"/>
        </w:rPr>
        <w:t>einen neuen Entwurf einer Durch</w:t>
      </w:r>
      <w:r w:rsidRPr="00674D5D">
        <w:rPr>
          <w:rFonts w:ascii="Verdana" w:hAnsi="Verdana"/>
          <w:sz w:val="20"/>
          <w:szCs w:val="20"/>
        </w:rPr>
        <w:t>führungsverordnung vorzulegen, mit dem besser für die nachha</w:t>
      </w:r>
      <w:r w:rsidR="00BE38E2">
        <w:rPr>
          <w:rFonts w:ascii="Verdana" w:hAnsi="Verdana"/>
          <w:sz w:val="20"/>
          <w:szCs w:val="20"/>
        </w:rPr>
        <w:t>ltige Verwendung glyphosathalti</w:t>
      </w:r>
      <w:r w:rsidRPr="00674D5D">
        <w:rPr>
          <w:rFonts w:ascii="Verdana" w:hAnsi="Verdana"/>
          <w:sz w:val="20"/>
          <w:szCs w:val="20"/>
        </w:rPr>
        <w:t xml:space="preserve">ger Pflanzenschutzmittel Sorge getragen wird. Die Resolution ist für die EU-Kommission nicht bindend. Ihr stimmten 374 Abgeordnete zu, bei 225 Gegenstimmen und 102 Enthaltungen. </w:t>
      </w:r>
    </w:p>
    <w:p w:rsidR="00674D5D" w:rsidRPr="00674D5D" w:rsidRDefault="00674D5D" w:rsidP="00674D5D">
      <w:pPr>
        <w:pStyle w:val="Default"/>
        <w:jc w:val="both"/>
        <w:rPr>
          <w:rFonts w:ascii="Verdana" w:hAnsi="Verdana"/>
          <w:sz w:val="20"/>
          <w:szCs w:val="20"/>
        </w:rPr>
      </w:pPr>
      <w:r w:rsidRPr="00674D5D">
        <w:rPr>
          <w:rFonts w:ascii="Verdana" w:hAnsi="Verdana"/>
          <w:sz w:val="20"/>
          <w:szCs w:val="20"/>
        </w:rPr>
        <w:t xml:space="preserve">Der Umweltausschuss des Parlaments hatte für ein Zulassungsverbot für Glyphosat plädiert, solange es Zweifel daran gebe, ob der Wirkstoff krebserregend sei. Die Kommission hat sich bei ihrem Vorschlag zur Wiederzulassung des Wirkstoffs auf </w:t>
      </w:r>
      <w:r w:rsidR="00BE38E2">
        <w:rPr>
          <w:rFonts w:ascii="Verdana" w:hAnsi="Verdana"/>
          <w:sz w:val="20"/>
          <w:szCs w:val="20"/>
        </w:rPr>
        <w:t>Gutachten der EFSA und des deut</w:t>
      </w:r>
      <w:r w:rsidRPr="00674D5D">
        <w:rPr>
          <w:rFonts w:ascii="Verdana" w:hAnsi="Verdana"/>
          <w:sz w:val="20"/>
          <w:szCs w:val="20"/>
        </w:rPr>
        <w:t>schen Bundesinstituts für Risikobewertung (</w:t>
      </w:r>
      <w:proofErr w:type="spellStart"/>
      <w:r w:rsidRPr="00674D5D">
        <w:rPr>
          <w:rFonts w:ascii="Verdana" w:hAnsi="Verdana"/>
          <w:sz w:val="20"/>
          <w:szCs w:val="20"/>
        </w:rPr>
        <w:t>BfR</w:t>
      </w:r>
      <w:proofErr w:type="spellEnd"/>
      <w:r w:rsidRPr="00674D5D">
        <w:rPr>
          <w:rFonts w:ascii="Verdana" w:hAnsi="Verdana"/>
          <w:sz w:val="20"/>
          <w:szCs w:val="20"/>
        </w:rPr>
        <w:t xml:space="preserve">) gestützt. Beide vertreten die Auffassung, dass es unwahrscheinlich sei, dass Glyphosat krebserregend sei. </w:t>
      </w:r>
    </w:p>
    <w:p w:rsidR="00674D5D" w:rsidRPr="00674D5D" w:rsidRDefault="00674D5D" w:rsidP="00674D5D">
      <w:pPr>
        <w:pStyle w:val="Default"/>
        <w:jc w:val="both"/>
        <w:rPr>
          <w:rFonts w:ascii="Verdana" w:hAnsi="Verdana"/>
          <w:sz w:val="20"/>
          <w:szCs w:val="20"/>
        </w:rPr>
      </w:pPr>
      <w:r w:rsidRPr="00674D5D">
        <w:rPr>
          <w:rFonts w:ascii="Verdana" w:hAnsi="Verdana"/>
          <w:sz w:val="20"/>
          <w:szCs w:val="20"/>
        </w:rPr>
        <w:t>Die bei der WHO angegliederte Internationale Agentur für Krebsforschung (IARC) hatte den Stoff hingegen als „wahrscheinlich krebserregend für den Menschen“</w:t>
      </w:r>
      <w:r w:rsidR="00BE38E2">
        <w:rPr>
          <w:rFonts w:ascii="Verdana" w:hAnsi="Verdana"/>
          <w:sz w:val="20"/>
          <w:szCs w:val="20"/>
        </w:rPr>
        <w:t xml:space="preserve"> eingestuft. Die von der Kommis</w:t>
      </w:r>
      <w:r w:rsidRPr="00674D5D">
        <w:rPr>
          <w:rFonts w:ascii="Verdana" w:hAnsi="Verdana"/>
          <w:sz w:val="20"/>
          <w:szCs w:val="20"/>
        </w:rPr>
        <w:t>sion vorgeschlagene Neuzulassung von Glyphosat für 15 Jahre ist auch unter den EU-Staaten umstritten. Bei der Tagung des zuständigen Expertengremiums der Mitgliedstaaten Anfang März hatte sich nicht die erforderliche qualifizierte Mehrheit für die weitere Zulassung abgezeichnet. Frankreich, Italien und die Niederlande haben den weiteren</w:t>
      </w:r>
      <w:r w:rsidR="00BE38E2">
        <w:rPr>
          <w:rFonts w:ascii="Verdana" w:hAnsi="Verdana"/>
          <w:sz w:val="20"/>
          <w:szCs w:val="20"/>
        </w:rPr>
        <w:t xml:space="preserve"> Einsatz des in vielen Pflanzen</w:t>
      </w:r>
      <w:r w:rsidRPr="00674D5D">
        <w:rPr>
          <w:rFonts w:ascii="Verdana" w:hAnsi="Verdana"/>
          <w:sz w:val="20"/>
          <w:szCs w:val="20"/>
        </w:rPr>
        <w:t xml:space="preserve">schutzmitteln verwendeten Wirkstoffs abgelehnt, andere baten um Bedenkzeit. </w:t>
      </w:r>
    </w:p>
    <w:p w:rsidR="00674D5D" w:rsidRPr="00674D5D" w:rsidRDefault="00674D5D" w:rsidP="00674D5D">
      <w:pPr>
        <w:pStyle w:val="Default"/>
        <w:jc w:val="both"/>
        <w:rPr>
          <w:rFonts w:ascii="Verdana" w:hAnsi="Verdana"/>
          <w:sz w:val="20"/>
          <w:szCs w:val="20"/>
        </w:rPr>
      </w:pPr>
      <w:r w:rsidRPr="00674D5D">
        <w:rPr>
          <w:rFonts w:ascii="Verdana" w:hAnsi="Verdana"/>
          <w:sz w:val="20"/>
          <w:szCs w:val="20"/>
        </w:rPr>
        <w:t xml:space="preserve">Das Bundesministerium für Ernährung und Landwirtschaft prüft </w:t>
      </w:r>
      <w:r w:rsidR="00BE38E2">
        <w:rPr>
          <w:rFonts w:ascii="Verdana" w:hAnsi="Verdana"/>
          <w:sz w:val="20"/>
          <w:szCs w:val="20"/>
        </w:rPr>
        <w:t>zurzeit die Abgabe von Pflanzen</w:t>
      </w:r>
      <w:r w:rsidRPr="00674D5D">
        <w:rPr>
          <w:rFonts w:ascii="Verdana" w:hAnsi="Verdana"/>
          <w:sz w:val="20"/>
          <w:szCs w:val="20"/>
        </w:rPr>
        <w:t xml:space="preserve">schutzmitteln mit dem Wirkstoff Glyphosat und anderen Herbiziden an nicht-professionelle An-wender einzuschränken oder zu verbieten. Das geht aus einer Antwort der Bundesregierung (18/8049) auf eine Kleine Anfrage der Faktion Bündnis 90/Die Grünen (18/7960) hervor. Weiter geht aus der Antwort hervor, dass die Prüfung anhand fachlicher Notwendigkeiten und rechtlicher Vorgaben erfolge, die sowohl das EU-Recht als </w:t>
      </w:r>
      <w:r w:rsidRPr="00674D5D">
        <w:rPr>
          <w:rFonts w:ascii="Verdana" w:hAnsi="Verdana"/>
          <w:sz w:val="20"/>
          <w:szCs w:val="20"/>
        </w:rPr>
        <w:lastRenderedPageBreak/>
        <w:t xml:space="preserve">auch das deutsche Pflanzenschutzrecht betreffen würden. Ein Ergebnis der Prüfung sei derzeit noch nicht abzusehen. </w:t>
      </w:r>
    </w:p>
    <w:p w:rsidR="00653AFD" w:rsidRDefault="00674D5D" w:rsidP="00674D5D">
      <w:pPr>
        <w:ind w:right="-60"/>
        <w:jc w:val="both"/>
        <w:rPr>
          <w:rFonts w:ascii="Verdana" w:hAnsi="Verdana"/>
          <w:sz w:val="20"/>
          <w:szCs w:val="20"/>
        </w:rPr>
      </w:pPr>
      <w:r w:rsidRPr="00674D5D">
        <w:rPr>
          <w:rFonts w:ascii="Verdana" w:hAnsi="Verdana"/>
          <w:sz w:val="20"/>
          <w:szCs w:val="20"/>
        </w:rPr>
        <w:t>Nach Abstimmung im EU-Parlament zugunsten des Verbleibs des Wirkstoffs Glyphosat auf dem Markt fordern Copa und Cogeca, die EU-Vereinigung der Landwirte und Genossenschaften, die Erneuerung der Zulassung für 15 Jahre. Der Generalsekretä</w:t>
      </w:r>
      <w:r w:rsidR="00BE38E2">
        <w:rPr>
          <w:rFonts w:ascii="Verdana" w:hAnsi="Verdana"/>
          <w:sz w:val="20"/>
          <w:szCs w:val="20"/>
        </w:rPr>
        <w:t xml:space="preserve">r von Copa und Cogeca, Pekka </w:t>
      </w:r>
      <w:proofErr w:type="spellStart"/>
      <w:r w:rsidR="00BE38E2">
        <w:rPr>
          <w:rFonts w:ascii="Verdana" w:hAnsi="Verdana"/>
          <w:sz w:val="20"/>
          <w:szCs w:val="20"/>
        </w:rPr>
        <w:t>Pe</w:t>
      </w:r>
      <w:r w:rsidRPr="00674D5D">
        <w:rPr>
          <w:rFonts w:ascii="Verdana" w:hAnsi="Verdana"/>
          <w:sz w:val="20"/>
          <w:szCs w:val="20"/>
        </w:rPr>
        <w:t>sonen</w:t>
      </w:r>
      <w:proofErr w:type="spellEnd"/>
      <w:r w:rsidRPr="00674D5D">
        <w:rPr>
          <w:rFonts w:ascii="Verdana" w:hAnsi="Verdana"/>
          <w:sz w:val="20"/>
          <w:szCs w:val="20"/>
        </w:rPr>
        <w:t>, erklärte: „Da die Europäische Behörde für Lebensmittelsicherheit EFSA die Sicherheit des Wirkstoffs bestätigt hat, erwarten wir von der EU-Kommission, dass sie die Zulassung für weitere 15 Jahre verlängert. Glyphosat findet breiten Einsatz in Pflanzenschutzmitteln in allen EU-Mitgliedstaaten und ist aufgrund seiner Verfügbarkeit und des kosteneffizienten Preises zentraler Bestandteil des Werkzeugkastens der Landwirte.“</w:t>
      </w:r>
    </w:p>
    <w:p w:rsidR="00674D5D" w:rsidRDefault="00674D5D" w:rsidP="00674D5D">
      <w:pPr>
        <w:ind w:right="-60"/>
        <w:jc w:val="both"/>
        <w:rPr>
          <w:rFonts w:ascii="Verdana" w:hAnsi="Verdana"/>
          <w:sz w:val="20"/>
          <w:szCs w:val="20"/>
        </w:rPr>
      </w:pPr>
    </w:p>
    <w:p w:rsidR="00674D5D" w:rsidRPr="003407C7" w:rsidRDefault="00674D5D" w:rsidP="00674D5D">
      <w:pPr>
        <w:ind w:right="-60"/>
        <w:jc w:val="both"/>
        <w:rPr>
          <w:rFonts w:ascii="Verdana" w:hAnsi="Verdana" w:cs="Arial"/>
          <w:b/>
          <w:color w:val="104815"/>
          <w:sz w:val="20"/>
          <w:szCs w:val="20"/>
          <w:u w:val="single"/>
        </w:rPr>
      </w:pPr>
      <w:r w:rsidRPr="003407C7">
        <w:rPr>
          <w:rFonts w:ascii="Verdana" w:hAnsi="Verdana" w:cs="Arial"/>
          <w:b/>
          <w:color w:val="104815"/>
          <w:sz w:val="20"/>
          <w:szCs w:val="20"/>
          <w:u w:val="single"/>
        </w:rPr>
        <w:t>Mecklenburg-Vorpommern: Nur wenige und unbedenkliche Glyphosat-Rückstände gefunden</w:t>
      </w:r>
    </w:p>
    <w:p w:rsidR="00674D5D" w:rsidRPr="003407C7" w:rsidRDefault="003407C7" w:rsidP="00674D5D">
      <w:pPr>
        <w:ind w:right="-60"/>
        <w:jc w:val="both"/>
        <w:rPr>
          <w:rFonts w:ascii="Verdana" w:hAnsi="Verdana"/>
          <w:sz w:val="20"/>
          <w:szCs w:val="20"/>
        </w:rPr>
      </w:pPr>
      <w:r w:rsidRPr="003407C7">
        <w:rPr>
          <w:rFonts w:ascii="Verdana" w:hAnsi="Verdana"/>
          <w:sz w:val="20"/>
          <w:szCs w:val="20"/>
        </w:rPr>
        <w:t>Das Pflanzenschutzmittel Glyphosat ist bei Lebensmitteltests in Mecklenburg-Vorpommern in den Vorjahren nur selten nachgewiesen worden. Von 247 amtlichen Proben seit 2010 seien in sieben Fällen Glyphosat- Reste entdeckt worden, teilte Agrarminister Till Backhaus (SPD) am Dienstag mit. Die Mengen hätten in jedem Fall weit unterhalb der Bedenklichkeitsgrenze gelegen.</w:t>
      </w:r>
    </w:p>
    <w:p w:rsidR="00653AFD" w:rsidRDefault="00653AFD" w:rsidP="00653AFD">
      <w:pPr>
        <w:ind w:right="-60"/>
        <w:jc w:val="both"/>
        <w:rPr>
          <w:rFonts w:ascii="Verdana" w:hAnsi="Verdana"/>
          <w:sz w:val="20"/>
          <w:szCs w:val="20"/>
        </w:rPr>
      </w:pPr>
    </w:p>
    <w:p w:rsidR="003407C7" w:rsidRDefault="003407C7" w:rsidP="00653AFD">
      <w:pPr>
        <w:ind w:right="-60"/>
        <w:jc w:val="both"/>
        <w:rPr>
          <w:rFonts w:ascii="Verdana" w:hAnsi="Verdana"/>
          <w:sz w:val="20"/>
          <w:szCs w:val="20"/>
        </w:rPr>
      </w:pPr>
    </w:p>
    <w:p w:rsidR="003407C7" w:rsidRDefault="003407C7" w:rsidP="003407C7">
      <w:pPr>
        <w:ind w:right="72"/>
        <w:jc w:val="both"/>
        <w:rPr>
          <w:rFonts w:ascii="Verdana" w:hAnsi="Verdana" w:cs="Arial"/>
          <w:b/>
          <w:color w:val="104815"/>
          <w:sz w:val="22"/>
          <w:szCs w:val="22"/>
        </w:rPr>
      </w:pPr>
      <w:r w:rsidRPr="006246AA">
        <w:rPr>
          <w:rFonts w:ascii="Verdana" w:hAnsi="Verdana" w:cs="Arial"/>
          <w:b/>
          <w:color w:val="104815"/>
          <w:sz w:val="22"/>
          <w:szCs w:val="22"/>
        </w:rPr>
        <w:t>4</w:t>
      </w:r>
      <w:r>
        <w:rPr>
          <w:rFonts w:ascii="Verdana" w:hAnsi="Verdana" w:cs="Arial"/>
          <w:b/>
          <w:color w:val="104815"/>
          <w:sz w:val="22"/>
          <w:szCs w:val="22"/>
        </w:rPr>
        <w:t>.3</w:t>
      </w:r>
      <w:r w:rsidRPr="006246AA">
        <w:rPr>
          <w:rFonts w:ascii="Verdana" w:hAnsi="Verdana" w:cs="Arial"/>
          <w:b/>
          <w:color w:val="104815"/>
          <w:sz w:val="22"/>
          <w:szCs w:val="22"/>
        </w:rPr>
        <w:t xml:space="preserve">. </w:t>
      </w:r>
      <w:r>
        <w:rPr>
          <w:rFonts w:ascii="Verdana" w:hAnsi="Verdana" w:cs="Arial"/>
          <w:b/>
          <w:color w:val="104815"/>
          <w:sz w:val="22"/>
          <w:szCs w:val="22"/>
        </w:rPr>
        <w:t>Keine Lockerung beim Neonikotinoidverbot in Deutschland</w:t>
      </w:r>
    </w:p>
    <w:p w:rsidR="003407C7" w:rsidRPr="00BE38E2" w:rsidRDefault="003407C7" w:rsidP="003407C7">
      <w:pPr>
        <w:pStyle w:val="StandardWeb"/>
        <w:spacing w:before="0" w:beforeAutospacing="0" w:after="0" w:afterAutospacing="0"/>
        <w:jc w:val="both"/>
        <w:rPr>
          <w:rFonts w:ascii="Verdana" w:hAnsi="Verdana"/>
          <w:color w:val="auto"/>
        </w:rPr>
      </w:pPr>
      <w:r w:rsidRPr="00BE38E2">
        <w:rPr>
          <w:rFonts w:ascii="Verdana" w:hAnsi="Verdana"/>
          <w:color w:val="auto"/>
        </w:rPr>
        <w:t xml:space="preserve">Das </w:t>
      </w:r>
      <w:hyperlink r:id="rId28" w:history="1">
        <w:r w:rsidRPr="00BE38E2">
          <w:rPr>
            <w:rStyle w:val="Hyperlink"/>
            <w:rFonts w:ascii="Verdana" w:hAnsi="Verdana"/>
            <w:color w:val="auto"/>
          </w:rPr>
          <w:t>Bundeslandwirtschaftsministerium</w:t>
        </w:r>
      </w:hyperlink>
      <w:r w:rsidRPr="00BE38E2">
        <w:rPr>
          <w:rFonts w:ascii="Verdana" w:hAnsi="Verdana"/>
          <w:color w:val="auto"/>
        </w:rPr>
        <w:t xml:space="preserve"> plant keine Wiederzulassung neonikotinoidhaltiger Beizmittel. Das hat ein Ministeriumssprecher ausdrücklich klargestellt. Er widersprach damit Medienberichten, wonach das Agrarressort per </w:t>
      </w:r>
      <w:hyperlink r:id="rId29" w:history="1">
        <w:r w:rsidRPr="00BE38E2">
          <w:rPr>
            <w:rStyle w:val="Hyperlink"/>
            <w:rFonts w:ascii="Verdana" w:hAnsi="Verdana"/>
            <w:color w:val="auto"/>
          </w:rPr>
          <w:t>Verordnung</w:t>
        </w:r>
      </w:hyperlink>
      <w:r w:rsidRPr="00BE38E2">
        <w:rPr>
          <w:rFonts w:ascii="Verdana" w:hAnsi="Verdana"/>
          <w:color w:val="auto"/>
        </w:rPr>
        <w:t xml:space="preserve"> Ausnahmen für die Verwendung von Neonikotinoiden im </w:t>
      </w:r>
      <w:hyperlink r:id="rId30" w:history="1">
        <w:r w:rsidRPr="00BE38E2">
          <w:rPr>
            <w:rStyle w:val="Hyperlink"/>
            <w:rFonts w:ascii="Verdana" w:hAnsi="Verdana"/>
            <w:color w:val="auto"/>
          </w:rPr>
          <w:t>Anbau</w:t>
        </w:r>
      </w:hyperlink>
      <w:r w:rsidRPr="00BE38E2">
        <w:rPr>
          <w:rFonts w:ascii="Verdana" w:hAnsi="Verdana"/>
          <w:color w:val="auto"/>
        </w:rPr>
        <w:t xml:space="preserve"> von Wintergetreide vor der EU-Entscheidung 2017 zulassen will. </w:t>
      </w:r>
    </w:p>
    <w:p w:rsidR="003407C7" w:rsidRPr="00BE38E2" w:rsidRDefault="003407C7" w:rsidP="003407C7">
      <w:pPr>
        <w:pStyle w:val="StandardWeb"/>
        <w:spacing w:before="0" w:beforeAutospacing="0" w:after="0" w:afterAutospacing="0"/>
        <w:jc w:val="both"/>
        <w:rPr>
          <w:rFonts w:ascii="Verdana" w:hAnsi="Verdana"/>
          <w:color w:val="auto"/>
        </w:rPr>
      </w:pPr>
      <w:r w:rsidRPr="00BE38E2">
        <w:rPr>
          <w:rFonts w:ascii="Verdana" w:hAnsi="Verdana"/>
          <w:color w:val="auto"/>
        </w:rPr>
        <w:t xml:space="preserve">Ressortchef Christian Schmidt mache sich vielmehr mit der anstehenden </w:t>
      </w:r>
      <w:hyperlink r:id="rId31" w:history="1">
        <w:r w:rsidRPr="00BE38E2">
          <w:rPr>
            <w:rStyle w:val="Hyperlink"/>
            <w:rFonts w:ascii="Verdana" w:hAnsi="Verdana"/>
            <w:color w:val="auto"/>
          </w:rPr>
          <w:t>Verordnung</w:t>
        </w:r>
      </w:hyperlink>
      <w:r w:rsidRPr="00BE38E2">
        <w:rPr>
          <w:rFonts w:ascii="Verdana" w:hAnsi="Verdana"/>
          <w:color w:val="auto"/>
        </w:rPr>
        <w:t xml:space="preserve"> weiter für den Bienenschutz stark, betonte der Sprecher. Man beabsichtige für neonikotinoidhaltige Beizmittel die Aufrechterhaltung eines höheren Schutzniveaus als in der übrigen EU. Die EU-</w:t>
      </w:r>
      <w:hyperlink r:id="rId32" w:history="1">
        <w:r w:rsidRPr="00BE38E2">
          <w:rPr>
            <w:rStyle w:val="Hyperlink"/>
            <w:rFonts w:ascii="Verdana" w:hAnsi="Verdana"/>
            <w:color w:val="auto"/>
          </w:rPr>
          <w:t>Verordnung</w:t>
        </w:r>
      </w:hyperlink>
      <w:r w:rsidRPr="00BE38E2">
        <w:rPr>
          <w:rFonts w:ascii="Verdana" w:hAnsi="Verdana"/>
          <w:color w:val="auto"/>
        </w:rPr>
        <w:t xml:space="preserve"> zum Teilverbot der Neonikotinoide lasse nämlich die Saatgutbehandlung sowie die </w:t>
      </w:r>
      <w:hyperlink r:id="rId33" w:history="1">
        <w:r w:rsidRPr="00BE38E2">
          <w:rPr>
            <w:rStyle w:val="Hyperlink"/>
            <w:rFonts w:ascii="Verdana" w:hAnsi="Verdana"/>
            <w:color w:val="auto"/>
          </w:rPr>
          <w:t>Aussaat</w:t>
        </w:r>
      </w:hyperlink>
      <w:r w:rsidRPr="00BE38E2">
        <w:rPr>
          <w:rFonts w:ascii="Verdana" w:hAnsi="Verdana"/>
          <w:color w:val="auto"/>
        </w:rPr>
        <w:t xml:space="preserve"> von so behandeltem Wintergetreide explizit zu, hieß es weiter aus dem Agrarressort. </w:t>
      </w:r>
    </w:p>
    <w:p w:rsidR="003407C7" w:rsidRPr="00BE38E2" w:rsidRDefault="003407C7" w:rsidP="003407C7">
      <w:pPr>
        <w:pStyle w:val="StandardWeb"/>
        <w:spacing w:before="0" w:beforeAutospacing="0" w:after="0" w:afterAutospacing="0"/>
        <w:jc w:val="both"/>
        <w:rPr>
          <w:rFonts w:ascii="Verdana" w:hAnsi="Verdana"/>
          <w:color w:val="auto"/>
        </w:rPr>
      </w:pPr>
      <w:r w:rsidRPr="00BE38E2">
        <w:rPr>
          <w:rFonts w:ascii="Verdana" w:hAnsi="Verdana"/>
          <w:color w:val="auto"/>
        </w:rPr>
        <w:t xml:space="preserve">Die Eilverordnung vom Sommer 2015, mit der Schmidt die </w:t>
      </w:r>
      <w:hyperlink r:id="rId34" w:history="1">
        <w:r w:rsidRPr="00BE38E2">
          <w:rPr>
            <w:rStyle w:val="Hyperlink"/>
            <w:rFonts w:ascii="Verdana" w:hAnsi="Verdana"/>
            <w:color w:val="auto"/>
          </w:rPr>
          <w:t>Aussaat</w:t>
        </w:r>
      </w:hyperlink>
      <w:r w:rsidRPr="00BE38E2">
        <w:rPr>
          <w:rFonts w:ascii="Verdana" w:hAnsi="Verdana"/>
          <w:color w:val="auto"/>
        </w:rPr>
        <w:t xml:space="preserve"> von nach Deutschland eingeführtem Wintergetreide-Saatgut verboten habe, das mit Neonikotinoiden behandelt sei, gelte nach dem </w:t>
      </w:r>
      <w:hyperlink r:id="rId35" w:history="1">
        <w:r w:rsidRPr="00BE38E2">
          <w:rPr>
            <w:rStyle w:val="Hyperlink"/>
            <w:rFonts w:ascii="Verdana" w:hAnsi="Verdana"/>
            <w:color w:val="auto"/>
          </w:rPr>
          <w:t>Pflanzenschutzgesetz</w:t>
        </w:r>
      </w:hyperlink>
      <w:r w:rsidRPr="00BE38E2">
        <w:rPr>
          <w:rFonts w:ascii="Verdana" w:hAnsi="Verdana"/>
          <w:color w:val="auto"/>
        </w:rPr>
        <w:t xml:space="preserve"> längstens für sechs Monate. Sie müsse daher durch eine reguläre, dauerhaft geltende </w:t>
      </w:r>
      <w:hyperlink r:id="rId36" w:history="1">
        <w:r w:rsidRPr="00BE38E2">
          <w:rPr>
            <w:rStyle w:val="Hyperlink"/>
            <w:rFonts w:ascii="Verdana" w:hAnsi="Verdana"/>
            <w:color w:val="auto"/>
          </w:rPr>
          <w:t>Verordnung</w:t>
        </w:r>
      </w:hyperlink>
      <w:r w:rsidRPr="00BE38E2">
        <w:rPr>
          <w:rFonts w:ascii="Verdana" w:hAnsi="Verdana"/>
          <w:color w:val="auto"/>
        </w:rPr>
        <w:t xml:space="preserve"> ersetzt werden. Wegen des freien Verkehrs in der EU sei der Erlass einer nationalen </w:t>
      </w:r>
      <w:hyperlink r:id="rId37" w:history="1">
        <w:r w:rsidRPr="00BE38E2">
          <w:rPr>
            <w:rStyle w:val="Hyperlink"/>
            <w:rFonts w:ascii="Verdana" w:hAnsi="Verdana"/>
            <w:color w:val="auto"/>
          </w:rPr>
          <w:t>Verordnung</w:t>
        </w:r>
      </w:hyperlink>
      <w:r w:rsidRPr="00BE38E2">
        <w:rPr>
          <w:rFonts w:ascii="Verdana" w:hAnsi="Verdana"/>
          <w:color w:val="auto"/>
        </w:rPr>
        <w:t xml:space="preserve"> der einzige Weg für Deutschland, strengere Qualitätsanforderungen für aus anderen Mitgliedstaaten importiertes, behandeltes Saatgut für Wintergetreide festzulegen, unterstrich der Sprecher. </w:t>
      </w:r>
    </w:p>
    <w:p w:rsidR="003407C7" w:rsidRPr="00BE38E2" w:rsidRDefault="003407C7" w:rsidP="003407C7">
      <w:pPr>
        <w:pStyle w:val="StandardWeb"/>
        <w:spacing w:before="0" w:beforeAutospacing="0" w:after="0" w:afterAutospacing="0"/>
        <w:jc w:val="both"/>
        <w:rPr>
          <w:rFonts w:ascii="Verdana" w:hAnsi="Verdana"/>
          <w:color w:val="auto"/>
        </w:rPr>
      </w:pPr>
      <w:r w:rsidRPr="00BE38E2">
        <w:rPr>
          <w:rFonts w:ascii="Verdana" w:hAnsi="Verdana"/>
          <w:color w:val="auto"/>
        </w:rPr>
        <w:t xml:space="preserve">Der Entwurf zur </w:t>
      </w:r>
      <w:hyperlink r:id="rId38" w:history="1">
        <w:r w:rsidRPr="00BE38E2">
          <w:rPr>
            <w:rStyle w:val="Hyperlink"/>
            <w:rFonts w:ascii="Verdana" w:hAnsi="Verdana"/>
            <w:color w:val="auto"/>
          </w:rPr>
          <w:t>Verordnung</w:t>
        </w:r>
      </w:hyperlink>
      <w:r w:rsidRPr="00BE38E2">
        <w:rPr>
          <w:rFonts w:ascii="Verdana" w:hAnsi="Verdana"/>
          <w:color w:val="auto"/>
        </w:rPr>
        <w:t xml:space="preserve"> befinde sich derzeit zur Notifizierung bei der EU-Kommission. Die Mitgliedstaaten hätten dabei die Möglichkeit, Kommentare dazu einzureichen. Nach Abschluss der Notifizierung werde der Entwurf gegebenenfalls angepasst und dann dem Bundesrat zur Zustimmung zugeleitet. Im Sommer 2016 solle die </w:t>
      </w:r>
      <w:hyperlink r:id="rId39" w:history="1">
        <w:r w:rsidRPr="00BE38E2">
          <w:rPr>
            <w:rStyle w:val="Hyperlink"/>
            <w:rFonts w:ascii="Verdana" w:hAnsi="Verdana"/>
            <w:color w:val="auto"/>
          </w:rPr>
          <w:t>Verordnung</w:t>
        </w:r>
      </w:hyperlink>
      <w:r w:rsidRPr="00BE38E2">
        <w:rPr>
          <w:rFonts w:ascii="Verdana" w:hAnsi="Verdana"/>
          <w:color w:val="auto"/>
        </w:rPr>
        <w:t xml:space="preserve"> dann in Kraft treten.</w:t>
      </w:r>
    </w:p>
    <w:p w:rsidR="003407C7" w:rsidRDefault="003407C7" w:rsidP="003407C7">
      <w:pPr>
        <w:ind w:right="-60"/>
        <w:jc w:val="both"/>
        <w:rPr>
          <w:rFonts w:ascii="Verdana" w:hAnsi="Verdana"/>
          <w:sz w:val="20"/>
          <w:szCs w:val="20"/>
        </w:rPr>
      </w:pPr>
      <w:r w:rsidRPr="003407C7">
        <w:rPr>
          <w:rFonts w:ascii="Verdana" w:hAnsi="Verdana" w:cs="Arial"/>
          <w:color w:val="222222"/>
          <w:sz w:val="20"/>
          <w:szCs w:val="20"/>
        </w:rPr>
        <w:br/>
      </w:r>
    </w:p>
    <w:p w:rsidR="003407C7" w:rsidRDefault="003407C7" w:rsidP="003407C7">
      <w:pPr>
        <w:ind w:right="72"/>
        <w:jc w:val="both"/>
        <w:rPr>
          <w:rFonts w:ascii="Verdana" w:hAnsi="Verdana" w:cs="Arial"/>
          <w:b/>
          <w:color w:val="104815"/>
          <w:sz w:val="22"/>
          <w:szCs w:val="22"/>
        </w:rPr>
      </w:pPr>
      <w:r w:rsidRPr="006246AA">
        <w:rPr>
          <w:rFonts w:ascii="Verdana" w:hAnsi="Verdana" w:cs="Arial"/>
          <w:b/>
          <w:color w:val="104815"/>
          <w:sz w:val="22"/>
          <w:szCs w:val="22"/>
        </w:rPr>
        <w:t>4</w:t>
      </w:r>
      <w:r>
        <w:rPr>
          <w:rFonts w:ascii="Verdana" w:hAnsi="Verdana" w:cs="Arial"/>
          <w:b/>
          <w:color w:val="104815"/>
          <w:sz w:val="22"/>
          <w:szCs w:val="22"/>
        </w:rPr>
        <w:t>.4</w:t>
      </w:r>
      <w:r w:rsidRPr="006246AA">
        <w:rPr>
          <w:rFonts w:ascii="Verdana" w:hAnsi="Verdana" w:cs="Arial"/>
          <w:b/>
          <w:color w:val="104815"/>
          <w:sz w:val="22"/>
          <w:szCs w:val="22"/>
        </w:rPr>
        <w:t xml:space="preserve">. </w:t>
      </w:r>
      <w:r>
        <w:rPr>
          <w:rFonts w:ascii="Verdana" w:hAnsi="Verdana" w:cs="Arial"/>
          <w:b/>
          <w:color w:val="104815"/>
          <w:sz w:val="22"/>
          <w:szCs w:val="22"/>
        </w:rPr>
        <w:t>COCERAL-Statement über Pflanzenschutzmittel und Glyphosat</w:t>
      </w:r>
    </w:p>
    <w:p w:rsidR="003407C7" w:rsidRPr="003407C7" w:rsidRDefault="003407C7" w:rsidP="003407C7">
      <w:pPr>
        <w:pStyle w:val="Default"/>
        <w:jc w:val="both"/>
        <w:rPr>
          <w:rFonts w:ascii="Verdana" w:hAnsi="Verdana"/>
          <w:sz w:val="20"/>
          <w:szCs w:val="20"/>
        </w:rPr>
      </w:pPr>
      <w:r w:rsidRPr="003407C7">
        <w:rPr>
          <w:rFonts w:ascii="Verdana" w:hAnsi="Verdana"/>
          <w:sz w:val="20"/>
          <w:szCs w:val="20"/>
        </w:rPr>
        <w:t>In einem Schreiben an die EU-Entscheidungsträger und Mitglieder des EU-Parlaments fordert unser EU-Dachverband COCERAL, sich bei der Entscheidung</w:t>
      </w:r>
      <w:r w:rsidR="00BE38E2">
        <w:rPr>
          <w:rFonts w:ascii="Verdana" w:hAnsi="Verdana"/>
          <w:sz w:val="20"/>
          <w:szCs w:val="20"/>
        </w:rPr>
        <w:t xml:space="preserve"> über die Erteilung oder Erneue</w:t>
      </w:r>
      <w:r w:rsidRPr="003407C7">
        <w:rPr>
          <w:rFonts w:ascii="Verdana" w:hAnsi="Verdana"/>
          <w:sz w:val="20"/>
          <w:szCs w:val="20"/>
        </w:rPr>
        <w:t xml:space="preserve">rung der Zulassung jeden Pflanzenschutzmittels ausschließlich nach wissenschaftlichen Erkennt-nissen zu richten. </w:t>
      </w:r>
    </w:p>
    <w:p w:rsidR="003407C7" w:rsidRPr="003407C7" w:rsidRDefault="003407C7" w:rsidP="003407C7">
      <w:pPr>
        <w:ind w:right="-60"/>
        <w:jc w:val="both"/>
        <w:rPr>
          <w:rFonts w:ascii="Verdana" w:hAnsi="Verdana"/>
          <w:sz w:val="20"/>
          <w:szCs w:val="20"/>
        </w:rPr>
      </w:pPr>
      <w:r w:rsidRPr="003407C7">
        <w:rPr>
          <w:rFonts w:ascii="Verdana" w:hAnsi="Verdana"/>
          <w:sz w:val="20"/>
          <w:szCs w:val="20"/>
        </w:rPr>
        <w:t xml:space="preserve">Pflanzenschutzmittel sind essentiell für die Sicherstellung von nachhaltigen Erträgen und der Qualität der landwirtschaftlichen Produktion in Europa. Sie sind von wesentlicher Bedeutung für die Landwirte, wenn es darum geht, die Auswirkungen von natürlich vorkommenden fungiziden Verunreinigungen wie Mykotoxine zu regulieren, sowie schädliche Wirkungen von Insekten oder unerwünschten Unkräuter zu kontrollieren. </w:t>
      </w:r>
      <w:r w:rsidRPr="003407C7">
        <w:rPr>
          <w:rFonts w:ascii="Verdana" w:hAnsi="Verdana"/>
          <w:sz w:val="20"/>
          <w:szCs w:val="20"/>
        </w:rPr>
        <w:lastRenderedPageBreak/>
        <w:t>Pflanzenschutzmitt</w:t>
      </w:r>
      <w:r w:rsidR="00BE38E2">
        <w:rPr>
          <w:rFonts w:ascii="Verdana" w:hAnsi="Verdana"/>
          <w:sz w:val="20"/>
          <w:szCs w:val="20"/>
        </w:rPr>
        <w:t>el mindern das Risiko von Ernte</w:t>
      </w:r>
      <w:r w:rsidRPr="003407C7">
        <w:rPr>
          <w:rFonts w:ascii="Verdana" w:hAnsi="Verdana"/>
          <w:sz w:val="20"/>
          <w:szCs w:val="20"/>
        </w:rPr>
        <w:t>einbußen und sorgen dafür, dass keine unverkäufliche Ware pr</w:t>
      </w:r>
      <w:r w:rsidR="00BE38E2">
        <w:rPr>
          <w:rFonts w:ascii="Verdana" w:hAnsi="Verdana"/>
          <w:sz w:val="20"/>
          <w:szCs w:val="20"/>
        </w:rPr>
        <w:t>oduziert wird. Ohne die Möglich</w:t>
      </w:r>
      <w:r w:rsidRPr="003407C7">
        <w:rPr>
          <w:rFonts w:ascii="Verdana" w:hAnsi="Verdana"/>
          <w:sz w:val="20"/>
          <w:szCs w:val="20"/>
        </w:rPr>
        <w:t xml:space="preserve">keit, Pflanzenschutzmittel einzusetzen, sei Europa nicht in der Lage, eine nachhaltige Versorgung mit gesundem Getreide, gesunden Ölsaaten und anderen Ackerkulturen sicherzustellen. </w:t>
      </w:r>
    </w:p>
    <w:p w:rsidR="003407C7" w:rsidRPr="003407C7" w:rsidRDefault="003407C7" w:rsidP="003407C7">
      <w:pPr>
        <w:pStyle w:val="Default"/>
        <w:jc w:val="both"/>
        <w:rPr>
          <w:rFonts w:ascii="Verdana" w:hAnsi="Verdana"/>
          <w:sz w:val="20"/>
          <w:szCs w:val="20"/>
        </w:rPr>
      </w:pPr>
      <w:r w:rsidRPr="003407C7">
        <w:rPr>
          <w:rFonts w:ascii="Verdana" w:hAnsi="Verdana"/>
          <w:sz w:val="20"/>
          <w:szCs w:val="20"/>
        </w:rPr>
        <w:t xml:space="preserve">COCERAL vertraut den neuen wissenschaftlichen Erkenntnissen der European </w:t>
      </w:r>
      <w:r w:rsidR="0026368B">
        <w:rPr>
          <w:rFonts w:ascii="Verdana" w:hAnsi="Verdana"/>
          <w:sz w:val="20"/>
          <w:szCs w:val="20"/>
        </w:rPr>
        <w:t>Food Safety Au</w:t>
      </w:r>
      <w:r w:rsidRPr="003407C7">
        <w:rPr>
          <w:rFonts w:ascii="Verdana" w:hAnsi="Verdana"/>
          <w:sz w:val="20"/>
          <w:szCs w:val="20"/>
        </w:rPr>
        <w:t>thority (EFSA), auch in Bezug auf den Wirkstoff Glyphosat. Die EFSA hat Glyphosat insgesamt als nicht bedrohlich für die menschliche Gesundheit eingestuft, einschließlich seiner Rückstände, dessen bloße Anwesenheit kein Beweis dafür ist, eine chronisch</w:t>
      </w:r>
      <w:r w:rsidR="00BE38E2">
        <w:rPr>
          <w:rFonts w:ascii="Verdana" w:hAnsi="Verdana"/>
          <w:sz w:val="20"/>
          <w:szCs w:val="20"/>
        </w:rPr>
        <w:t>e oder akute Gefahr für die Ver</w:t>
      </w:r>
      <w:r w:rsidRPr="003407C7">
        <w:rPr>
          <w:rFonts w:ascii="Verdana" w:hAnsi="Verdana"/>
          <w:sz w:val="20"/>
          <w:szCs w:val="20"/>
        </w:rPr>
        <w:t xml:space="preserve">braucher darzustellen. </w:t>
      </w:r>
    </w:p>
    <w:p w:rsidR="003407C7" w:rsidRDefault="003407C7" w:rsidP="003407C7">
      <w:pPr>
        <w:ind w:right="-60"/>
        <w:jc w:val="both"/>
        <w:rPr>
          <w:rFonts w:ascii="Verdana" w:hAnsi="Verdana"/>
          <w:sz w:val="20"/>
          <w:szCs w:val="20"/>
        </w:rPr>
      </w:pPr>
      <w:r w:rsidRPr="003407C7">
        <w:rPr>
          <w:rFonts w:ascii="Verdana" w:hAnsi="Verdana"/>
          <w:sz w:val="20"/>
          <w:szCs w:val="20"/>
        </w:rPr>
        <w:t xml:space="preserve">COCERAL fordert die EU- Entscheidungsträger und Mitglieder des EU-Parlaments dazu auf, den Wirkstoff Glyphosat auf dem EU-Markt zu halten und die Verlängerung der Genehmigung schnellstmöglich sicherzustellen. Dazu COCERAL-Generalsekretär Teresa </w:t>
      </w:r>
      <w:proofErr w:type="spellStart"/>
      <w:r w:rsidRPr="003407C7">
        <w:rPr>
          <w:rFonts w:ascii="Verdana" w:hAnsi="Verdana"/>
          <w:sz w:val="20"/>
          <w:szCs w:val="20"/>
        </w:rPr>
        <w:t>Babuscio</w:t>
      </w:r>
      <w:proofErr w:type="spellEnd"/>
      <w:r w:rsidRPr="003407C7">
        <w:rPr>
          <w:rFonts w:ascii="Verdana" w:hAnsi="Verdana"/>
          <w:sz w:val="20"/>
          <w:szCs w:val="20"/>
        </w:rPr>
        <w:t>: "Mit der EFSA und den Lebensmittelbehörden haben die Mitgliedstaaten die Sicherheit von Glyphosat bestätigt. Angesichts der Bedeutung des Wirkstoffs für die Landwirte der EU erwarten wir, dass das Herbizid erneut von der EU-Kommission genehmigt wird." Sie fügte hinzu: "Glyphosat ist das am weitesten verbreitete Herbizid in der Welt. Ein Scheitern der Zulassungserneuerung würde ernsthaft die Lieferung von Getreide und Ölsaaten auf dem EU-Markt gefährden.“</w:t>
      </w:r>
    </w:p>
    <w:p w:rsidR="003407C7" w:rsidRDefault="003407C7" w:rsidP="003407C7">
      <w:pPr>
        <w:ind w:right="-60"/>
        <w:jc w:val="both"/>
        <w:rPr>
          <w:rFonts w:ascii="Verdana" w:hAnsi="Verdana"/>
          <w:sz w:val="20"/>
          <w:szCs w:val="20"/>
        </w:rPr>
      </w:pPr>
    </w:p>
    <w:p w:rsidR="003407C7" w:rsidRDefault="003407C7" w:rsidP="003407C7">
      <w:pPr>
        <w:ind w:right="-60"/>
        <w:jc w:val="both"/>
        <w:rPr>
          <w:rFonts w:ascii="Verdana" w:hAnsi="Verdana"/>
          <w:sz w:val="20"/>
          <w:szCs w:val="20"/>
        </w:rPr>
      </w:pPr>
    </w:p>
    <w:p w:rsidR="003407C7" w:rsidRDefault="003407C7" w:rsidP="003407C7">
      <w:pPr>
        <w:ind w:right="72"/>
        <w:jc w:val="both"/>
        <w:rPr>
          <w:rFonts w:ascii="Verdana" w:hAnsi="Verdana" w:cs="Arial"/>
          <w:b/>
          <w:color w:val="104815"/>
          <w:sz w:val="22"/>
          <w:szCs w:val="22"/>
        </w:rPr>
      </w:pPr>
      <w:r w:rsidRPr="006246AA">
        <w:rPr>
          <w:rFonts w:ascii="Verdana" w:hAnsi="Verdana" w:cs="Arial"/>
          <w:b/>
          <w:color w:val="104815"/>
          <w:sz w:val="22"/>
          <w:szCs w:val="22"/>
        </w:rPr>
        <w:t>4</w:t>
      </w:r>
      <w:r>
        <w:rPr>
          <w:rFonts w:ascii="Verdana" w:hAnsi="Verdana" w:cs="Arial"/>
          <w:b/>
          <w:color w:val="104815"/>
          <w:sz w:val="22"/>
          <w:szCs w:val="22"/>
        </w:rPr>
        <w:t>.5</w:t>
      </w:r>
      <w:r w:rsidRPr="006246AA">
        <w:rPr>
          <w:rFonts w:ascii="Verdana" w:hAnsi="Verdana" w:cs="Arial"/>
          <w:b/>
          <w:color w:val="104815"/>
          <w:sz w:val="22"/>
          <w:szCs w:val="22"/>
        </w:rPr>
        <w:t xml:space="preserve">. </w:t>
      </w:r>
      <w:r>
        <w:rPr>
          <w:rFonts w:ascii="Verdana" w:hAnsi="Verdana" w:cs="Arial"/>
          <w:b/>
          <w:color w:val="104815"/>
          <w:sz w:val="22"/>
          <w:szCs w:val="22"/>
        </w:rPr>
        <w:t>Neues Fachinstitut für Bienenschutz im Julius-Kühn-Institut nimmt Arbeit auf</w:t>
      </w:r>
    </w:p>
    <w:p w:rsidR="003407C7" w:rsidRPr="003407C7" w:rsidRDefault="003407C7" w:rsidP="003407C7">
      <w:pPr>
        <w:pStyle w:val="Default"/>
        <w:jc w:val="both"/>
        <w:rPr>
          <w:rFonts w:ascii="Verdana" w:hAnsi="Verdana"/>
          <w:sz w:val="20"/>
          <w:szCs w:val="20"/>
        </w:rPr>
      </w:pPr>
      <w:r w:rsidRPr="003407C7">
        <w:rPr>
          <w:rFonts w:ascii="Verdana" w:hAnsi="Verdana"/>
          <w:sz w:val="20"/>
          <w:szCs w:val="20"/>
        </w:rPr>
        <w:t>Anfang April hat das das neue Inst</w:t>
      </w:r>
      <w:r>
        <w:rPr>
          <w:rFonts w:ascii="Verdana" w:hAnsi="Verdana"/>
          <w:sz w:val="20"/>
          <w:szCs w:val="20"/>
        </w:rPr>
        <w:t>itut für Bienenschutz im Julius-</w:t>
      </w:r>
      <w:r w:rsidRPr="003407C7">
        <w:rPr>
          <w:rFonts w:ascii="Verdana" w:hAnsi="Verdana"/>
          <w:sz w:val="20"/>
          <w:szCs w:val="20"/>
        </w:rPr>
        <w:t>Kühn-Institut seine Arbeit aufgenommen. Das Ziel ist, Honigbienen und Wildbienen zu schützen, ihr</w:t>
      </w:r>
      <w:r w:rsidR="00BE38E2">
        <w:rPr>
          <w:rFonts w:ascii="Verdana" w:hAnsi="Verdana"/>
          <w:sz w:val="20"/>
          <w:szCs w:val="20"/>
        </w:rPr>
        <w:t>e Lebens- und Ernährungsgrundla</w:t>
      </w:r>
      <w:r w:rsidRPr="003407C7">
        <w:rPr>
          <w:rFonts w:ascii="Verdana" w:hAnsi="Verdana"/>
          <w:sz w:val="20"/>
          <w:szCs w:val="20"/>
        </w:rPr>
        <w:t xml:space="preserve">gen zu erhalten und zu verbessern sowie die Bienenvölker gesund und vital zu erhalten. </w:t>
      </w:r>
    </w:p>
    <w:p w:rsidR="003407C7" w:rsidRPr="003407C7" w:rsidRDefault="003407C7" w:rsidP="003407C7">
      <w:pPr>
        <w:pStyle w:val="Default"/>
        <w:jc w:val="both"/>
        <w:rPr>
          <w:rFonts w:ascii="Verdana" w:hAnsi="Verdana"/>
          <w:sz w:val="20"/>
          <w:szCs w:val="20"/>
        </w:rPr>
      </w:pPr>
      <w:r w:rsidRPr="003407C7">
        <w:rPr>
          <w:rFonts w:ascii="Verdana" w:hAnsi="Verdana"/>
          <w:sz w:val="20"/>
          <w:szCs w:val="20"/>
        </w:rPr>
        <w:t>Die Aufgaben des Instituts für Bie</w:t>
      </w:r>
      <w:r w:rsidR="00BE38E2">
        <w:rPr>
          <w:rFonts w:ascii="Verdana" w:hAnsi="Verdana"/>
          <w:sz w:val="20"/>
          <w:szCs w:val="20"/>
        </w:rPr>
        <w:t>nenschutz sind vielfältig. Wich</w:t>
      </w:r>
      <w:r w:rsidRPr="003407C7">
        <w:rPr>
          <w:rFonts w:ascii="Verdana" w:hAnsi="Verdana"/>
          <w:sz w:val="20"/>
          <w:szCs w:val="20"/>
        </w:rPr>
        <w:t>tigste Ziele sind, die Interaktion</w:t>
      </w:r>
      <w:r w:rsidR="0026368B">
        <w:rPr>
          <w:rFonts w:ascii="Verdana" w:hAnsi="Verdana"/>
          <w:sz w:val="20"/>
          <w:szCs w:val="20"/>
        </w:rPr>
        <w:t>en zwischen Bienen und der Land</w:t>
      </w:r>
      <w:r w:rsidRPr="003407C7">
        <w:rPr>
          <w:rFonts w:ascii="Verdana" w:hAnsi="Verdana"/>
          <w:sz w:val="20"/>
          <w:szCs w:val="20"/>
        </w:rPr>
        <w:t>wirtschaft bzw. den Agrarräumen zu erforschen. Risiken für die Bestäuber selbst bzw. für ihre Bestäubungsleistung, die durch den Anbau von Kulturpflanzen entstehen können, sollen erkannt werden. Um potentielle Gefahren und Risiken zu minimieren, müssen u.a. neue Strategien und Verfahren entwickelt werden. Die Forschungen und wissenschaftlichen Bewertungen des neuen Instituts sollen auch dazu beitragen, die biologische Vielfalt</w:t>
      </w:r>
      <w:r w:rsidR="0026368B">
        <w:rPr>
          <w:rFonts w:ascii="Verdana" w:hAnsi="Verdana"/>
          <w:sz w:val="20"/>
          <w:szCs w:val="20"/>
        </w:rPr>
        <w:t xml:space="preserve"> in Agrarökosystemen und Kultur</w:t>
      </w:r>
      <w:r w:rsidRPr="003407C7">
        <w:rPr>
          <w:rFonts w:ascii="Verdana" w:hAnsi="Verdana"/>
          <w:sz w:val="20"/>
          <w:szCs w:val="20"/>
        </w:rPr>
        <w:t xml:space="preserve">landschaften zu erhalten und zu verbessern. </w:t>
      </w:r>
    </w:p>
    <w:p w:rsidR="003407C7" w:rsidRDefault="003407C7" w:rsidP="003407C7">
      <w:pPr>
        <w:ind w:right="-60"/>
        <w:jc w:val="both"/>
        <w:rPr>
          <w:rFonts w:ascii="Verdana" w:hAnsi="Verdana"/>
          <w:sz w:val="20"/>
          <w:szCs w:val="20"/>
        </w:rPr>
      </w:pPr>
      <w:r w:rsidRPr="003407C7">
        <w:rPr>
          <w:rFonts w:ascii="Verdana" w:hAnsi="Verdana"/>
          <w:sz w:val="20"/>
          <w:szCs w:val="20"/>
        </w:rPr>
        <w:t>Für Bienen und andere Bestäuber sind hohe Schutzstandards zu gewährleisten, so der Wunsch von Politik und Gesellschaft. All diese Aspekte und Maßnah</w:t>
      </w:r>
      <w:r w:rsidR="00BE38E2">
        <w:rPr>
          <w:rFonts w:ascii="Verdana" w:hAnsi="Verdana"/>
          <w:sz w:val="20"/>
          <w:szCs w:val="20"/>
        </w:rPr>
        <w:t>men kommen Honigbienen und ande</w:t>
      </w:r>
      <w:r w:rsidRPr="003407C7">
        <w:rPr>
          <w:rFonts w:ascii="Verdana" w:hAnsi="Verdana"/>
          <w:sz w:val="20"/>
          <w:szCs w:val="20"/>
        </w:rPr>
        <w:t>ren Bienenarten zugute. Auch die nach langen Jahren des Rückgangs wieder wachsende Anzahl an Imkern profitiert davon.</w:t>
      </w:r>
    </w:p>
    <w:p w:rsidR="003407C7" w:rsidRDefault="003407C7" w:rsidP="003407C7">
      <w:pPr>
        <w:ind w:right="-60"/>
        <w:jc w:val="both"/>
        <w:rPr>
          <w:rFonts w:ascii="Verdana" w:hAnsi="Verdana"/>
          <w:sz w:val="20"/>
          <w:szCs w:val="20"/>
        </w:rPr>
      </w:pPr>
    </w:p>
    <w:p w:rsidR="003407C7" w:rsidRDefault="003407C7" w:rsidP="003407C7">
      <w:pPr>
        <w:ind w:right="-60"/>
        <w:jc w:val="both"/>
        <w:rPr>
          <w:rFonts w:ascii="Verdana" w:hAnsi="Verdana"/>
          <w:sz w:val="20"/>
          <w:szCs w:val="20"/>
        </w:rPr>
      </w:pPr>
    </w:p>
    <w:p w:rsidR="003407C7" w:rsidRDefault="003407C7" w:rsidP="003407C7">
      <w:pPr>
        <w:ind w:right="72"/>
        <w:jc w:val="both"/>
        <w:rPr>
          <w:rFonts w:ascii="Verdana" w:hAnsi="Verdana" w:cs="Arial"/>
          <w:b/>
          <w:color w:val="104815"/>
          <w:sz w:val="22"/>
          <w:szCs w:val="22"/>
        </w:rPr>
      </w:pPr>
      <w:r w:rsidRPr="006246AA">
        <w:rPr>
          <w:rFonts w:ascii="Verdana" w:hAnsi="Verdana" w:cs="Arial"/>
          <w:b/>
          <w:color w:val="104815"/>
          <w:sz w:val="22"/>
          <w:szCs w:val="22"/>
        </w:rPr>
        <w:t>4</w:t>
      </w:r>
      <w:r>
        <w:rPr>
          <w:rFonts w:ascii="Verdana" w:hAnsi="Verdana" w:cs="Arial"/>
          <w:b/>
          <w:color w:val="104815"/>
          <w:sz w:val="22"/>
          <w:szCs w:val="22"/>
        </w:rPr>
        <w:t>.6</w:t>
      </w:r>
      <w:r w:rsidRPr="006246AA">
        <w:rPr>
          <w:rFonts w:ascii="Verdana" w:hAnsi="Verdana" w:cs="Arial"/>
          <w:b/>
          <w:color w:val="104815"/>
          <w:sz w:val="22"/>
          <w:szCs w:val="22"/>
        </w:rPr>
        <w:t xml:space="preserve">. </w:t>
      </w:r>
      <w:r>
        <w:rPr>
          <w:rFonts w:ascii="Verdana" w:hAnsi="Verdana" w:cs="Arial"/>
          <w:b/>
          <w:color w:val="104815"/>
          <w:sz w:val="22"/>
          <w:szCs w:val="22"/>
        </w:rPr>
        <w:t>Kommission verlangt Nachbesserungen bei der Novelle der Düngeverordnung</w:t>
      </w:r>
    </w:p>
    <w:p w:rsidR="003407C7" w:rsidRPr="00BE38E2" w:rsidRDefault="003407C7" w:rsidP="00165B82">
      <w:pPr>
        <w:pStyle w:val="StandardWeb"/>
        <w:spacing w:before="0" w:beforeAutospacing="0" w:after="0" w:afterAutospacing="0"/>
        <w:jc w:val="both"/>
        <w:rPr>
          <w:rFonts w:ascii="Verdana" w:hAnsi="Verdana"/>
          <w:color w:val="auto"/>
        </w:rPr>
      </w:pPr>
      <w:r w:rsidRPr="00BE38E2">
        <w:rPr>
          <w:rFonts w:ascii="Verdana" w:hAnsi="Verdana"/>
          <w:color w:val="auto"/>
        </w:rPr>
        <w:t xml:space="preserve">Der bislang vorliegende Zeitplan für die Neufassung des Düngerechts kommt ins Rutschen. Nachdem die Europäische Kommission Ende März eine ausführliche Stellungnahme zum Entwurf der Bundesregierung für eine Novelle der Düngeverordnung abgegeben hat, verlängert sich die Stillhaltefrist der Brüsseler Behörde bis zum 22. Juni 2016. </w:t>
      </w:r>
    </w:p>
    <w:p w:rsidR="003407C7" w:rsidRPr="00165B82" w:rsidRDefault="003407C7" w:rsidP="00165B82">
      <w:pPr>
        <w:pStyle w:val="StandardWeb"/>
        <w:spacing w:before="0" w:beforeAutospacing="0" w:after="0" w:afterAutospacing="0"/>
        <w:jc w:val="both"/>
        <w:rPr>
          <w:rFonts w:ascii="Verdana" w:hAnsi="Verdana"/>
          <w:color w:val="222222"/>
        </w:rPr>
      </w:pPr>
      <w:r w:rsidRPr="00BE38E2">
        <w:rPr>
          <w:rFonts w:ascii="Verdana" w:hAnsi="Verdana"/>
          <w:color w:val="auto"/>
        </w:rPr>
        <w:t>Damit wird der ursprüngliche Plan hinfällig, dass der Bundesrat im Mai zusammen mit der Änderung des Düngegesetzes und der Verordnung über Anlagen zum Umgang mit wassergefährdenden Stoffen (</w:t>
      </w:r>
      <w:proofErr w:type="spellStart"/>
      <w:r w:rsidRPr="00BE38E2">
        <w:rPr>
          <w:rFonts w:ascii="Verdana" w:hAnsi="Verdana"/>
          <w:color w:val="auto"/>
        </w:rPr>
        <w:fldChar w:fldCharType="begin"/>
      </w:r>
      <w:r w:rsidRPr="00BE38E2">
        <w:rPr>
          <w:rFonts w:ascii="Verdana" w:hAnsi="Verdana"/>
          <w:color w:val="auto"/>
        </w:rPr>
        <w:instrText xml:space="preserve"> HYPERLINK "http://www.topagrar.com/themen/AwSV-1775284.html" </w:instrText>
      </w:r>
      <w:r w:rsidRPr="00BE38E2">
        <w:rPr>
          <w:rFonts w:ascii="Verdana" w:hAnsi="Verdana"/>
          <w:color w:val="auto"/>
        </w:rPr>
        <w:fldChar w:fldCharType="separate"/>
      </w:r>
      <w:r w:rsidRPr="00BE38E2">
        <w:rPr>
          <w:rStyle w:val="Hyperlink"/>
          <w:rFonts w:ascii="Verdana" w:hAnsi="Verdana"/>
          <w:color w:val="auto"/>
        </w:rPr>
        <w:t>AwSV</w:t>
      </w:r>
      <w:proofErr w:type="spellEnd"/>
      <w:r w:rsidRPr="00BE38E2">
        <w:rPr>
          <w:rFonts w:ascii="Verdana" w:hAnsi="Verdana"/>
          <w:color w:val="auto"/>
        </w:rPr>
        <w:fldChar w:fldCharType="end"/>
      </w:r>
      <w:r w:rsidRPr="00BE38E2">
        <w:rPr>
          <w:rFonts w:ascii="Verdana" w:hAnsi="Verdana"/>
          <w:color w:val="auto"/>
        </w:rPr>
        <w:t xml:space="preserve">) im Mai über die neue Düngeverordnung entscheidet. </w:t>
      </w:r>
      <w:r w:rsidRPr="00165B82">
        <w:rPr>
          <w:rFonts w:ascii="Verdana" w:hAnsi="Verdana"/>
          <w:color w:val="222222"/>
        </w:rPr>
        <w:t xml:space="preserve">Inzwischen ist ungewiss, ob die Neuregelungen noch vor der Sommerpause beschlossen werden. Die letzte Möglichkeit dazu wäre die Bundesratssitzung am 8. Juli. </w:t>
      </w:r>
    </w:p>
    <w:p w:rsidR="003407C7" w:rsidRPr="00165B82" w:rsidRDefault="003407C7" w:rsidP="00165B82">
      <w:pPr>
        <w:pStyle w:val="StandardWeb"/>
        <w:spacing w:before="0" w:beforeAutospacing="0" w:after="0" w:afterAutospacing="0"/>
        <w:jc w:val="both"/>
        <w:rPr>
          <w:rFonts w:ascii="Verdana" w:hAnsi="Verdana"/>
          <w:color w:val="222222"/>
        </w:rPr>
      </w:pPr>
      <w:r w:rsidRPr="00165B82">
        <w:rPr>
          <w:rFonts w:ascii="Verdana" w:hAnsi="Verdana"/>
          <w:color w:val="222222"/>
        </w:rPr>
        <w:t xml:space="preserve">Dem Vernehmen nach fordert die Brüsseler Administration in ihrer Stellungnahme an mehreren Punkten Nachbesserungen am Regierungsentwurf zur Düngeverordnung. Die Forderungen beziehen sich unter anderem auf die Berücksichtigung der Eutrophierung von Gewässern bei der Festlegung belasteter Gebiete sowie die in diesen sogenannten „roten Gebieten“ durchzuführenden Maßnahmen. Ferner monieren die Kommissionsbeamten die Höhe der Kontrollwerte bei der Bewertung der Ergebnisse des </w:t>
      </w:r>
      <w:r w:rsidRPr="00165B82">
        <w:rPr>
          <w:rFonts w:ascii="Verdana" w:hAnsi="Verdana"/>
          <w:color w:val="222222"/>
        </w:rPr>
        <w:lastRenderedPageBreak/>
        <w:t xml:space="preserve">Nährstoffvergleichs sowie die eingeräumte Übergangsfrist für die Schaffung der Lagerkapazität von Festmist. </w:t>
      </w:r>
    </w:p>
    <w:p w:rsidR="003407C7" w:rsidRDefault="003407C7" w:rsidP="00165B82">
      <w:pPr>
        <w:pStyle w:val="StandardWeb"/>
        <w:spacing w:before="0" w:beforeAutospacing="0" w:after="0" w:afterAutospacing="0"/>
        <w:jc w:val="both"/>
        <w:rPr>
          <w:rFonts w:ascii="Verdana" w:hAnsi="Verdana"/>
          <w:color w:val="222222"/>
        </w:rPr>
      </w:pPr>
      <w:r w:rsidRPr="00165B82">
        <w:rPr>
          <w:rFonts w:ascii="Verdana" w:hAnsi="Verdana"/>
          <w:color w:val="222222"/>
        </w:rPr>
        <w:t xml:space="preserve">Derzeit ist unklar, ob die Bundesregierung den „Wünschen“ der Kommission nachkommen wird. Nicht zuletzt vor dem Hintergrund der gegenwärtig schwierigen Lage in vielen Betrieben dürfte die Bereitschaft auf landwirtschaftlicher Seite zu weiteren Zugeständnissen sehr gering sein. </w:t>
      </w:r>
    </w:p>
    <w:p w:rsidR="00165B82" w:rsidRDefault="00165B82" w:rsidP="00165B82">
      <w:pPr>
        <w:pStyle w:val="StandardWeb"/>
        <w:spacing w:before="0" w:beforeAutospacing="0" w:after="0" w:afterAutospacing="0"/>
        <w:jc w:val="both"/>
        <w:rPr>
          <w:rFonts w:ascii="Verdana" w:hAnsi="Verdana"/>
          <w:color w:val="222222"/>
        </w:rPr>
      </w:pPr>
    </w:p>
    <w:p w:rsidR="00165B82" w:rsidRDefault="00165B82" w:rsidP="00165B82">
      <w:pPr>
        <w:pStyle w:val="StandardWeb"/>
        <w:spacing w:before="0" w:beforeAutospacing="0" w:after="0" w:afterAutospacing="0"/>
        <w:jc w:val="both"/>
        <w:rPr>
          <w:rFonts w:ascii="Verdana" w:hAnsi="Verdana"/>
          <w:color w:val="222222"/>
        </w:rPr>
      </w:pPr>
    </w:p>
    <w:p w:rsidR="00165B82" w:rsidRDefault="00165B82" w:rsidP="00165B82">
      <w:pPr>
        <w:ind w:right="72"/>
        <w:jc w:val="both"/>
        <w:rPr>
          <w:rFonts w:ascii="Verdana" w:hAnsi="Verdana" w:cs="Arial"/>
          <w:b/>
          <w:color w:val="104815"/>
          <w:sz w:val="22"/>
          <w:szCs w:val="22"/>
        </w:rPr>
      </w:pPr>
      <w:r w:rsidRPr="006246AA">
        <w:rPr>
          <w:rFonts w:ascii="Verdana" w:hAnsi="Verdana" w:cs="Arial"/>
          <w:b/>
          <w:color w:val="104815"/>
          <w:sz w:val="22"/>
          <w:szCs w:val="22"/>
        </w:rPr>
        <w:t>4</w:t>
      </w:r>
      <w:r>
        <w:rPr>
          <w:rFonts w:ascii="Verdana" w:hAnsi="Verdana" w:cs="Arial"/>
          <w:b/>
          <w:color w:val="104815"/>
          <w:sz w:val="22"/>
          <w:szCs w:val="22"/>
        </w:rPr>
        <w:t>.7</w:t>
      </w:r>
      <w:r w:rsidRPr="006246AA">
        <w:rPr>
          <w:rFonts w:ascii="Verdana" w:hAnsi="Verdana" w:cs="Arial"/>
          <w:b/>
          <w:color w:val="104815"/>
          <w:sz w:val="22"/>
          <w:szCs w:val="22"/>
        </w:rPr>
        <w:t xml:space="preserve">. </w:t>
      </w:r>
      <w:r>
        <w:rPr>
          <w:rFonts w:ascii="Verdana" w:hAnsi="Verdana" w:cs="Arial"/>
          <w:b/>
          <w:color w:val="104815"/>
          <w:sz w:val="22"/>
          <w:szCs w:val="22"/>
        </w:rPr>
        <w:t>Düngemittel: 2014/15 mehr Mineraldünger verkauft</w:t>
      </w:r>
    </w:p>
    <w:p w:rsidR="00165B82" w:rsidRPr="00165B82" w:rsidRDefault="00165B82" w:rsidP="00165B82">
      <w:pPr>
        <w:spacing w:line="240" w:lineRule="atLeast"/>
        <w:jc w:val="both"/>
        <w:rPr>
          <w:rFonts w:ascii="Verdana" w:hAnsi="Verdana" w:cs="Helvetica"/>
          <w:sz w:val="20"/>
          <w:szCs w:val="20"/>
        </w:rPr>
      </w:pPr>
      <w:r w:rsidRPr="00165B82">
        <w:rPr>
          <w:rFonts w:ascii="Verdana" w:hAnsi="Verdana" w:cs="Helvetica"/>
          <w:sz w:val="20"/>
          <w:szCs w:val="20"/>
        </w:rPr>
        <w:t>Der weltweite Absatz an Mineraldünger hat im zurückliegenden Jahr leicht um knapp 1 Prozent zugenommen. Für die nächsten Jahre wird wieder ein stärkerer Zuwachs prognostiziert, der hauptsächlich von den Wachstumsmärkten in Asien und Lateinamerika getragen wird.</w:t>
      </w:r>
    </w:p>
    <w:p w:rsidR="00165B82" w:rsidRPr="00165B82" w:rsidRDefault="00165B82" w:rsidP="00165B82">
      <w:pPr>
        <w:spacing w:line="240" w:lineRule="atLeast"/>
        <w:jc w:val="both"/>
        <w:rPr>
          <w:rFonts w:ascii="Verdana" w:hAnsi="Verdana" w:cs="Helvetica"/>
          <w:sz w:val="20"/>
          <w:szCs w:val="20"/>
          <w:lang w:val="en"/>
        </w:rPr>
      </w:pPr>
    </w:p>
    <w:p w:rsidR="00165B82" w:rsidRDefault="00165B82" w:rsidP="00165B82">
      <w:pPr>
        <w:spacing w:line="240" w:lineRule="atLeast"/>
        <w:rPr>
          <w:rFonts w:ascii="Helvetica" w:hAnsi="Helvetica" w:cs="Helvetica"/>
          <w:sz w:val="18"/>
          <w:szCs w:val="18"/>
          <w:lang w:val="en"/>
        </w:rPr>
      </w:pPr>
      <w:r>
        <w:rPr>
          <w:rFonts w:ascii="Helvetica" w:hAnsi="Helvetica" w:cs="Helvetica"/>
          <w:noProof/>
          <w:color w:val="0000FF"/>
          <w:sz w:val="18"/>
          <w:szCs w:val="18"/>
        </w:rPr>
        <w:drawing>
          <wp:inline distT="0" distB="0" distL="0" distR="0" wp14:anchorId="3581BCD2" wp14:editId="4D3590DE">
            <wp:extent cx="2242185" cy="2966085"/>
            <wp:effectExtent l="0" t="0" r="5715" b="5715"/>
            <wp:docPr id="9" name="Grafik 9" descr="C:\Alle\Nordost\Info`s\Mitgliederinfo\2016\Mitglieder-Info 04.2016\agrarticker DM Markt_de-Dateien\thumb_small_duengemittelmarkt_gros.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le\Nordost\Info`s\Mitgliederinfo\2016\Mitglieder-Info 04.2016\agrarticker DM Markt_de-Dateien\thumb_small_duengemittelmarkt_gros.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2185" cy="2966085"/>
                    </a:xfrm>
                    <a:prstGeom prst="rect">
                      <a:avLst/>
                    </a:prstGeom>
                    <a:noFill/>
                    <a:ln>
                      <a:noFill/>
                    </a:ln>
                  </pic:spPr>
                </pic:pic>
              </a:graphicData>
            </a:graphic>
          </wp:inline>
        </w:drawing>
      </w:r>
      <w:r>
        <w:rPr>
          <w:rFonts w:ascii="Helvetica" w:hAnsi="Helvetica" w:cs="Helvetica"/>
          <w:sz w:val="18"/>
          <w:szCs w:val="18"/>
          <w:lang w:val="en"/>
        </w:rPr>
        <w:t xml:space="preserve"> </w:t>
      </w:r>
    </w:p>
    <w:p w:rsidR="00165B82" w:rsidRPr="00165B82" w:rsidRDefault="00165B82" w:rsidP="00165B82">
      <w:pPr>
        <w:spacing w:line="240" w:lineRule="atLeast"/>
        <w:rPr>
          <w:rFonts w:ascii="Helvetica" w:hAnsi="Helvetica" w:cs="Helvetica"/>
          <w:sz w:val="18"/>
          <w:szCs w:val="18"/>
          <w:lang w:val="en"/>
        </w:rPr>
      </w:pPr>
    </w:p>
    <w:p w:rsidR="00165B82" w:rsidRPr="00165B82" w:rsidRDefault="00165B82" w:rsidP="00165B82">
      <w:pPr>
        <w:spacing w:line="240" w:lineRule="atLeast"/>
        <w:jc w:val="both"/>
        <w:rPr>
          <w:rFonts w:ascii="Verdana" w:hAnsi="Verdana" w:cs="Helvetica"/>
          <w:sz w:val="20"/>
          <w:szCs w:val="20"/>
        </w:rPr>
      </w:pPr>
      <w:r w:rsidRPr="00165B82">
        <w:rPr>
          <w:rFonts w:ascii="Verdana" w:hAnsi="Verdana" w:cs="Helvetica"/>
          <w:sz w:val="20"/>
          <w:szCs w:val="20"/>
        </w:rPr>
        <w:t xml:space="preserve">Auch in Deutschland hat der Absatz mineralischer Stickstoff-, Phosphat- und Kalidünger in der Saison 2014/15 (Juli bis Juni) im Vergleich zum Vorjahr zugenommen. Der Stickstoffabsatz legte um 8,8 Prozent auf nun 1,82 Mio. t Stickstoff (N) zu. Der tatsächliche Stickstoffverbrauch in der Landwirtschaft wird allerdings deutlich niedriger eingeschätzt. Im Juni 2015 wurden noch überdurchschnittlich hohe Mengen an Stickstoffdünger verkauft, die aber überwiegend im laufenden Düngejahr 2015/16 </w:t>
      </w:r>
      <w:proofErr w:type="spellStart"/>
      <w:r w:rsidRPr="00165B82">
        <w:rPr>
          <w:rFonts w:ascii="Verdana" w:hAnsi="Verdana" w:cs="Helvetica"/>
          <w:sz w:val="20"/>
          <w:szCs w:val="20"/>
        </w:rPr>
        <w:t>ver</w:t>
      </w:r>
      <w:proofErr w:type="spellEnd"/>
      <w:r w:rsidRPr="00165B82">
        <w:rPr>
          <w:rFonts w:ascii="Verdana" w:hAnsi="Verdana" w:cs="Helvetica"/>
          <w:sz w:val="20"/>
          <w:szCs w:val="20"/>
        </w:rPr>
        <w:t>-braucht wurden.</w:t>
      </w:r>
    </w:p>
    <w:p w:rsidR="00165B82" w:rsidRPr="00165B82" w:rsidRDefault="00165B82" w:rsidP="00165B82">
      <w:pPr>
        <w:spacing w:line="240" w:lineRule="atLeast"/>
        <w:jc w:val="both"/>
        <w:rPr>
          <w:rFonts w:ascii="Verdana" w:hAnsi="Verdana" w:cs="Helvetica"/>
          <w:sz w:val="20"/>
          <w:szCs w:val="20"/>
        </w:rPr>
      </w:pPr>
      <w:r w:rsidRPr="00165B82">
        <w:rPr>
          <w:rFonts w:ascii="Verdana" w:hAnsi="Verdana" w:cs="Helvetica"/>
          <w:sz w:val="20"/>
          <w:szCs w:val="20"/>
        </w:rPr>
        <w:t>Der Phosphatabsatz stieg auf nun 301.000 t P</w:t>
      </w:r>
      <w:r w:rsidRPr="00165B82">
        <w:rPr>
          <w:rFonts w:ascii="Verdana" w:hAnsi="Verdana" w:cs="Helvetica"/>
          <w:sz w:val="20"/>
          <w:szCs w:val="20"/>
          <w:vertAlign w:val="subscript"/>
        </w:rPr>
        <w:t>2</w:t>
      </w:r>
      <w:r w:rsidRPr="00165B82">
        <w:rPr>
          <w:rFonts w:ascii="Verdana" w:hAnsi="Verdana" w:cs="Helvetica"/>
          <w:sz w:val="20"/>
          <w:szCs w:val="20"/>
        </w:rPr>
        <w:t>O</w:t>
      </w:r>
      <w:r w:rsidRPr="00165B82">
        <w:rPr>
          <w:rFonts w:ascii="Verdana" w:hAnsi="Verdana" w:cs="Helvetica"/>
          <w:sz w:val="20"/>
          <w:szCs w:val="20"/>
          <w:vertAlign w:val="subscript"/>
        </w:rPr>
        <w:t>5</w:t>
      </w:r>
      <w:r w:rsidRPr="00165B82">
        <w:rPr>
          <w:rFonts w:ascii="Verdana" w:hAnsi="Verdana" w:cs="Helvetica"/>
          <w:sz w:val="20"/>
          <w:szCs w:val="20"/>
        </w:rPr>
        <w:t xml:space="preserve"> an, was einem Plus von 17.000 t bzw. von 6,1 Prozent entspricht. Der Absatz von Kali blieb mit einem leichten Plus von 0,6 Prozent stabil und betrug insgesamt 460.000 t K</w:t>
      </w:r>
      <w:r w:rsidRPr="00165B82">
        <w:rPr>
          <w:rFonts w:ascii="Verdana" w:hAnsi="Verdana" w:cs="Helvetica"/>
          <w:sz w:val="20"/>
          <w:szCs w:val="20"/>
          <w:vertAlign w:val="subscript"/>
        </w:rPr>
        <w:t>2</w:t>
      </w:r>
      <w:r w:rsidRPr="00165B82">
        <w:rPr>
          <w:rFonts w:ascii="Verdana" w:hAnsi="Verdana" w:cs="Helvetica"/>
          <w:sz w:val="20"/>
          <w:szCs w:val="20"/>
        </w:rPr>
        <w:t>O.</w:t>
      </w:r>
      <w:r w:rsidRPr="00165B82">
        <w:rPr>
          <w:rFonts w:ascii="Verdana" w:hAnsi="Verdana" w:cs="Helvetica"/>
          <w:sz w:val="20"/>
          <w:szCs w:val="20"/>
        </w:rPr>
        <w:br/>
      </w:r>
      <w:r w:rsidRPr="00165B82">
        <w:rPr>
          <w:rFonts w:ascii="Verdana" w:hAnsi="Verdana" w:cs="Helvetica"/>
          <w:sz w:val="20"/>
          <w:szCs w:val="20"/>
        </w:rPr>
        <w:br/>
      </w:r>
      <w:r w:rsidRPr="00165B82">
        <w:rPr>
          <w:rFonts w:ascii="Verdana" w:hAnsi="Verdana" w:cs="Helvetica"/>
          <w:b/>
          <w:bCs/>
          <w:sz w:val="20"/>
          <w:szCs w:val="20"/>
        </w:rPr>
        <w:t>Saison 2015/16</w:t>
      </w:r>
    </w:p>
    <w:p w:rsidR="00165B82" w:rsidRDefault="00165B82" w:rsidP="00165B82">
      <w:pPr>
        <w:spacing w:line="240" w:lineRule="atLeast"/>
        <w:jc w:val="both"/>
        <w:rPr>
          <w:rFonts w:ascii="Verdana" w:hAnsi="Verdana" w:cs="Helvetica"/>
          <w:sz w:val="20"/>
          <w:szCs w:val="20"/>
        </w:rPr>
      </w:pPr>
      <w:r w:rsidRPr="00165B82">
        <w:rPr>
          <w:rFonts w:ascii="Verdana" w:hAnsi="Verdana" w:cs="Helvetica"/>
          <w:sz w:val="20"/>
          <w:szCs w:val="20"/>
        </w:rPr>
        <w:t>Aufgrund des im März und April sehr kühlen Wetters und der niedrigen Erzeugerpreise bei Getreide, Milch und Schweinefleisch ist die Nachfrage der Landwirtschaft nach Stickstoffdünger in der laufenden Saison 2015/16 bis einschließlich März verhaltener als in den Vorjahren.</w:t>
      </w:r>
    </w:p>
    <w:p w:rsidR="00165B82" w:rsidRDefault="00165B82" w:rsidP="00165B82">
      <w:pPr>
        <w:spacing w:line="240" w:lineRule="atLeast"/>
        <w:jc w:val="both"/>
        <w:rPr>
          <w:rFonts w:ascii="Verdana" w:hAnsi="Verdana" w:cs="Helvetica"/>
          <w:sz w:val="20"/>
          <w:szCs w:val="20"/>
        </w:rPr>
      </w:pPr>
    </w:p>
    <w:p w:rsidR="00165B82" w:rsidRDefault="00165B82" w:rsidP="00165B82">
      <w:pPr>
        <w:spacing w:line="240" w:lineRule="atLeast"/>
        <w:jc w:val="both"/>
        <w:rPr>
          <w:rFonts w:ascii="Verdana" w:hAnsi="Verdana" w:cs="Helvetica"/>
          <w:sz w:val="20"/>
          <w:szCs w:val="20"/>
        </w:rPr>
      </w:pPr>
    </w:p>
    <w:p w:rsidR="00165B82" w:rsidRDefault="00165B82" w:rsidP="00165B82">
      <w:pPr>
        <w:ind w:right="72"/>
        <w:jc w:val="both"/>
        <w:rPr>
          <w:rFonts w:ascii="Verdana" w:hAnsi="Verdana" w:cs="Arial"/>
          <w:b/>
          <w:color w:val="104815"/>
          <w:sz w:val="22"/>
          <w:szCs w:val="22"/>
        </w:rPr>
      </w:pPr>
      <w:r w:rsidRPr="006246AA">
        <w:rPr>
          <w:rFonts w:ascii="Verdana" w:hAnsi="Verdana" w:cs="Arial"/>
          <w:b/>
          <w:color w:val="104815"/>
          <w:sz w:val="22"/>
          <w:szCs w:val="22"/>
        </w:rPr>
        <w:t>4</w:t>
      </w:r>
      <w:r>
        <w:rPr>
          <w:rFonts w:ascii="Verdana" w:hAnsi="Verdana" w:cs="Arial"/>
          <w:b/>
          <w:color w:val="104815"/>
          <w:sz w:val="22"/>
          <w:szCs w:val="22"/>
        </w:rPr>
        <w:t>.8</w:t>
      </w:r>
      <w:r w:rsidRPr="006246AA">
        <w:rPr>
          <w:rFonts w:ascii="Verdana" w:hAnsi="Verdana" w:cs="Arial"/>
          <w:b/>
          <w:color w:val="104815"/>
          <w:sz w:val="22"/>
          <w:szCs w:val="22"/>
        </w:rPr>
        <w:t xml:space="preserve">. </w:t>
      </w:r>
      <w:r>
        <w:rPr>
          <w:rFonts w:ascii="Verdana" w:hAnsi="Verdana" w:cs="Arial"/>
          <w:b/>
          <w:color w:val="104815"/>
          <w:sz w:val="22"/>
          <w:szCs w:val="22"/>
        </w:rPr>
        <w:t>BVA-Botschaften zur Düngemittel-Verordnung an EU-Handelsverband</w:t>
      </w:r>
    </w:p>
    <w:p w:rsidR="00165B82" w:rsidRPr="00165B82" w:rsidRDefault="00165B82" w:rsidP="00165B82">
      <w:pPr>
        <w:pStyle w:val="Default"/>
        <w:jc w:val="both"/>
        <w:rPr>
          <w:rFonts w:ascii="Verdana" w:hAnsi="Verdana"/>
          <w:sz w:val="20"/>
          <w:szCs w:val="20"/>
        </w:rPr>
      </w:pPr>
      <w:r w:rsidRPr="00165B82">
        <w:rPr>
          <w:rFonts w:ascii="Verdana" w:hAnsi="Verdana"/>
          <w:sz w:val="20"/>
          <w:szCs w:val="20"/>
        </w:rPr>
        <w:t xml:space="preserve">Der EU-Dachverband des Groß- und Einzelhandels, EuroCommerce, hat in einer internen Sitzung den Entwurf der EU-Düngemittelverordnung (DüMV) im Rahmen des Circular Economy Package diskutiert. Über den deutschen Vertreter des Bundesverbandes Groß- und Außenhandel (BGA) hatte der BVA Gelegenheit, einige Botschaften zur DüMV zu </w:t>
      </w:r>
      <w:r w:rsidRPr="00165B82">
        <w:rPr>
          <w:rFonts w:ascii="Verdana" w:hAnsi="Verdana"/>
          <w:sz w:val="20"/>
          <w:szCs w:val="20"/>
        </w:rPr>
        <w:lastRenderedPageBreak/>
        <w:t xml:space="preserve">überbringen. Darin haben wir deutlich gemacht, dass mit einer deutlichen Zunahme von Düngemitteln </w:t>
      </w:r>
      <w:r w:rsidR="00BE38E2">
        <w:rPr>
          <w:rFonts w:ascii="Verdana" w:hAnsi="Verdana"/>
          <w:sz w:val="20"/>
          <w:szCs w:val="20"/>
        </w:rPr>
        <w:t>aus Bio-Abfall und Sekundär-Roh</w:t>
      </w:r>
      <w:r w:rsidRPr="00165B82">
        <w:rPr>
          <w:rFonts w:ascii="Verdana" w:hAnsi="Verdana"/>
          <w:sz w:val="20"/>
          <w:szCs w:val="20"/>
        </w:rPr>
        <w:t xml:space="preserve">stoffen zu rechnen ist. </w:t>
      </w:r>
    </w:p>
    <w:p w:rsidR="00165B82" w:rsidRPr="00165B82" w:rsidRDefault="00165B82" w:rsidP="00165B82">
      <w:pPr>
        <w:pStyle w:val="Default"/>
        <w:jc w:val="both"/>
        <w:rPr>
          <w:rFonts w:ascii="Verdana" w:hAnsi="Verdana"/>
          <w:sz w:val="20"/>
          <w:szCs w:val="20"/>
        </w:rPr>
      </w:pPr>
      <w:r w:rsidRPr="00165B82">
        <w:rPr>
          <w:rFonts w:ascii="Verdana" w:hAnsi="Verdana"/>
          <w:sz w:val="20"/>
          <w:szCs w:val="20"/>
        </w:rPr>
        <w:t>Vor allem die Betrachtung möglicher Düngemittel aus organischen Reststoffen, etwa Bio-Abfall, Kompost, Klärschlamm, darf sich nicht nur auf den Gedanken der Kreis</w:t>
      </w:r>
      <w:r w:rsidR="00BE38E2">
        <w:rPr>
          <w:rFonts w:ascii="Verdana" w:hAnsi="Verdana"/>
          <w:sz w:val="20"/>
          <w:szCs w:val="20"/>
        </w:rPr>
        <w:t>laufwirtschaft und die Ver</w:t>
      </w:r>
      <w:r w:rsidRPr="00165B82">
        <w:rPr>
          <w:rFonts w:ascii="Verdana" w:hAnsi="Verdana"/>
          <w:sz w:val="20"/>
          <w:szCs w:val="20"/>
        </w:rPr>
        <w:t>sorgung mit Nährstoffen aus eigenen Quellen reduzieren lassen</w:t>
      </w:r>
      <w:r w:rsidR="0026368B">
        <w:rPr>
          <w:rFonts w:ascii="Verdana" w:hAnsi="Verdana"/>
          <w:sz w:val="20"/>
          <w:szCs w:val="20"/>
        </w:rPr>
        <w:t>. Denn der Einsatz dieser Dünge</w:t>
      </w:r>
      <w:r w:rsidRPr="00165B82">
        <w:rPr>
          <w:rFonts w:ascii="Verdana" w:hAnsi="Verdana"/>
          <w:sz w:val="20"/>
          <w:szCs w:val="20"/>
        </w:rPr>
        <w:t xml:space="preserve">mittel birgt je nach Herkunft des Ausgangsmaterials durchaus </w:t>
      </w:r>
      <w:r w:rsidR="00BE38E2">
        <w:rPr>
          <w:rFonts w:ascii="Verdana" w:hAnsi="Verdana"/>
          <w:sz w:val="20"/>
          <w:szCs w:val="20"/>
        </w:rPr>
        <w:t>die Gefahr, dass neben Schwerme</w:t>
      </w:r>
      <w:r w:rsidRPr="00165B82">
        <w:rPr>
          <w:rFonts w:ascii="Verdana" w:hAnsi="Verdana"/>
          <w:sz w:val="20"/>
          <w:szCs w:val="20"/>
        </w:rPr>
        <w:t>tallen auch eine Kontamination mit organischen Schadstoffen und pharmazeutisch wirksamen Sub-stanzen vorliegen kann. Vor allem bei so genannten Siedlungsabfällen wie Klärschlamm oder Bio-Abfall-Kompost kann das Risiko nicht ausgeschlossen werden</w:t>
      </w:r>
      <w:r w:rsidR="00BE38E2">
        <w:rPr>
          <w:rFonts w:ascii="Verdana" w:hAnsi="Verdana"/>
          <w:sz w:val="20"/>
          <w:szCs w:val="20"/>
        </w:rPr>
        <w:t>, dass Reste von Haushaltschemi</w:t>
      </w:r>
      <w:r w:rsidRPr="00165B82">
        <w:rPr>
          <w:rFonts w:ascii="Verdana" w:hAnsi="Verdana"/>
          <w:sz w:val="20"/>
          <w:szCs w:val="20"/>
        </w:rPr>
        <w:t>kalien, Arzneimitteln oder hormonell wirkenden Subtanzen (z.B. v</w:t>
      </w:r>
      <w:r w:rsidR="00BE38E2">
        <w:rPr>
          <w:rFonts w:ascii="Verdana" w:hAnsi="Verdana"/>
          <w:sz w:val="20"/>
          <w:szCs w:val="20"/>
        </w:rPr>
        <w:t>on der Anti-Baby-Pille) das Sub</w:t>
      </w:r>
      <w:r w:rsidRPr="00165B82">
        <w:rPr>
          <w:rFonts w:ascii="Verdana" w:hAnsi="Verdana"/>
          <w:sz w:val="20"/>
          <w:szCs w:val="20"/>
        </w:rPr>
        <w:t xml:space="preserve">strat belasten und durch die Ausbringung ungewollt in das Ökosystem Acker und schließlich in den Nahrungskreislauf des Menschen gelangen. </w:t>
      </w:r>
    </w:p>
    <w:p w:rsidR="00165B82" w:rsidRPr="00165B82" w:rsidRDefault="00165B82" w:rsidP="00165B82">
      <w:pPr>
        <w:pStyle w:val="Default"/>
        <w:jc w:val="both"/>
        <w:rPr>
          <w:rFonts w:ascii="Verdana" w:hAnsi="Verdana"/>
          <w:sz w:val="20"/>
          <w:szCs w:val="20"/>
        </w:rPr>
      </w:pPr>
      <w:r w:rsidRPr="00165B82">
        <w:rPr>
          <w:rFonts w:ascii="Verdana" w:hAnsi="Verdana"/>
          <w:sz w:val="20"/>
          <w:szCs w:val="20"/>
        </w:rPr>
        <w:t xml:space="preserve">Organische Düngemittel wie Gülle jeglicher Art stellen zweifelsohne </w:t>
      </w:r>
      <w:r w:rsidR="00BE38E2">
        <w:rPr>
          <w:rFonts w:ascii="Verdana" w:hAnsi="Verdana"/>
          <w:sz w:val="20"/>
          <w:szCs w:val="20"/>
        </w:rPr>
        <w:t>eine wichtige Quelle mit pflanz</w:t>
      </w:r>
      <w:r w:rsidRPr="00165B82">
        <w:rPr>
          <w:rFonts w:ascii="Verdana" w:hAnsi="Verdana"/>
          <w:sz w:val="20"/>
          <w:szCs w:val="20"/>
        </w:rPr>
        <w:t>lichen Nährstoffen dar. Das Eintragsrisiko von Pathogenen fäkalen Ursprungs in die Nahrungskette ist unter bestimmungsgemäßer Verwertung gering. Ein erhöhtes R</w:t>
      </w:r>
      <w:r w:rsidR="00BE38E2">
        <w:rPr>
          <w:rFonts w:ascii="Verdana" w:hAnsi="Verdana"/>
          <w:sz w:val="20"/>
          <w:szCs w:val="20"/>
        </w:rPr>
        <w:t>isiko liegt jedoch vor, wenn or</w:t>
      </w:r>
      <w:r w:rsidRPr="00165B82">
        <w:rPr>
          <w:rFonts w:ascii="Verdana" w:hAnsi="Verdana"/>
          <w:sz w:val="20"/>
          <w:szCs w:val="20"/>
        </w:rPr>
        <w:t>ganische Düngemittel grenzüberschreitend eingesetzt und dadu</w:t>
      </w:r>
      <w:r w:rsidR="00BE38E2">
        <w:rPr>
          <w:rFonts w:ascii="Verdana" w:hAnsi="Verdana"/>
          <w:sz w:val="20"/>
          <w:szCs w:val="20"/>
        </w:rPr>
        <w:t>rch neue mögliche Infektionsket</w:t>
      </w:r>
      <w:r w:rsidRPr="00165B82">
        <w:rPr>
          <w:rFonts w:ascii="Verdana" w:hAnsi="Verdana"/>
          <w:sz w:val="20"/>
          <w:szCs w:val="20"/>
        </w:rPr>
        <w:t xml:space="preserve">ten geschaffen werden können. </w:t>
      </w:r>
    </w:p>
    <w:p w:rsidR="00165B82" w:rsidRDefault="00165B82" w:rsidP="00165B82">
      <w:pPr>
        <w:spacing w:line="240" w:lineRule="atLeast"/>
        <w:jc w:val="both"/>
        <w:rPr>
          <w:rFonts w:ascii="Verdana" w:hAnsi="Verdana"/>
          <w:sz w:val="20"/>
          <w:szCs w:val="20"/>
        </w:rPr>
      </w:pPr>
      <w:r w:rsidRPr="00165B82">
        <w:rPr>
          <w:rFonts w:ascii="Verdana" w:hAnsi="Verdana"/>
          <w:sz w:val="20"/>
          <w:szCs w:val="20"/>
        </w:rPr>
        <w:t>Auf Grund des chemischen Herstellungsprozesses sind Nährstoff- aber auch Schadstoffgehalte und Wirkungsweisen mineralischer Düngemittel eindeutig ausge</w:t>
      </w:r>
      <w:r w:rsidR="00BE38E2">
        <w:rPr>
          <w:rFonts w:ascii="Verdana" w:hAnsi="Verdana"/>
          <w:sz w:val="20"/>
          <w:szCs w:val="20"/>
        </w:rPr>
        <w:t>wiesen. Für die Vielzahl an Dün</w:t>
      </w:r>
      <w:r w:rsidRPr="00165B82">
        <w:rPr>
          <w:rFonts w:ascii="Verdana" w:hAnsi="Verdana"/>
          <w:sz w:val="20"/>
          <w:szCs w:val="20"/>
        </w:rPr>
        <w:t>gemitteln organischer Herkunft ist eine exakte Bestimmung na</w:t>
      </w:r>
      <w:r w:rsidR="00BE38E2">
        <w:rPr>
          <w:rFonts w:ascii="Verdana" w:hAnsi="Verdana"/>
          <w:sz w:val="20"/>
          <w:szCs w:val="20"/>
        </w:rPr>
        <w:t>ch Ansicht des BVA jedoch einge</w:t>
      </w:r>
      <w:r w:rsidRPr="00165B82">
        <w:rPr>
          <w:rFonts w:ascii="Verdana" w:hAnsi="Verdana"/>
          <w:sz w:val="20"/>
          <w:szCs w:val="20"/>
        </w:rPr>
        <w:t xml:space="preserve">schränkt möglich. Hinzu kommen oben beschriebene Risiken, die bei einer Zulassung eines EU-Düngemittels zwingend zu beachten sind. Der BVA fordert aus </w:t>
      </w:r>
      <w:r w:rsidR="00BE38E2">
        <w:rPr>
          <w:rFonts w:ascii="Verdana" w:hAnsi="Verdana"/>
          <w:sz w:val="20"/>
          <w:szCs w:val="20"/>
        </w:rPr>
        <w:t>diesen Gründen gerade bei grenz</w:t>
      </w:r>
      <w:r w:rsidRPr="00165B82">
        <w:rPr>
          <w:rFonts w:ascii="Verdana" w:hAnsi="Verdana"/>
          <w:sz w:val="20"/>
          <w:szCs w:val="20"/>
        </w:rPr>
        <w:t xml:space="preserve">überschreitender Vermarktung und Ausbringung von organischen Düngemitteln strengste </w:t>
      </w:r>
      <w:proofErr w:type="spellStart"/>
      <w:r w:rsidRPr="00165B82">
        <w:rPr>
          <w:rFonts w:ascii="Verdana" w:hAnsi="Verdana"/>
          <w:sz w:val="20"/>
          <w:szCs w:val="20"/>
        </w:rPr>
        <w:t>Zulas-sungsbedingungen</w:t>
      </w:r>
      <w:proofErr w:type="spellEnd"/>
      <w:r w:rsidRPr="00165B82">
        <w:rPr>
          <w:rFonts w:ascii="Verdana" w:hAnsi="Verdana"/>
          <w:sz w:val="20"/>
          <w:szCs w:val="20"/>
        </w:rPr>
        <w:t xml:space="preserve"> mit entsprechenden Grenzwerten und Kontrollen. Darüber hinaus stellt sich die Klärung der Haftungsfrage infolge ungewollter Kontamination von</w:t>
      </w:r>
      <w:r w:rsidR="00BE38E2">
        <w:rPr>
          <w:rFonts w:ascii="Verdana" w:hAnsi="Verdana"/>
          <w:sz w:val="20"/>
          <w:szCs w:val="20"/>
        </w:rPr>
        <w:t xml:space="preserve"> Erntefrüchten und damit Lebens</w:t>
      </w:r>
      <w:r w:rsidRPr="00165B82">
        <w:rPr>
          <w:rFonts w:ascii="Verdana" w:hAnsi="Verdana"/>
          <w:sz w:val="20"/>
          <w:szCs w:val="20"/>
        </w:rPr>
        <w:t>mitteln sowie Infektion wertvoller Nutztierbestände.</w:t>
      </w:r>
    </w:p>
    <w:p w:rsidR="00165B82" w:rsidRDefault="00165B82" w:rsidP="00165B82">
      <w:pPr>
        <w:spacing w:line="240" w:lineRule="atLeast"/>
        <w:jc w:val="both"/>
        <w:rPr>
          <w:rFonts w:ascii="Verdana" w:hAnsi="Verdana"/>
          <w:sz w:val="20"/>
          <w:szCs w:val="20"/>
        </w:rPr>
      </w:pPr>
    </w:p>
    <w:p w:rsidR="00165B82" w:rsidRPr="00165B82" w:rsidRDefault="00165B82" w:rsidP="00165B82">
      <w:pPr>
        <w:autoSpaceDE w:val="0"/>
        <w:autoSpaceDN w:val="0"/>
        <w:adjustRightInd w:val="0"/>
        <w:rPr>
          <w:rFonts w:ascii="Verdana" w:hAnsi="Verdana" w:cs="Arial"/>
          <w:b/>
          <w:color w:val="104815"/>
          <w:sz w:val="20"/>
          <w:szCs w:val="20"/>
          <w:u w:val="single"/>
        </w:rPr>
      </w:pPr>
      <w:r w:rsidRPr="00165B82">
        <w:rPr>
          <w:rFonts w:ascii="Verdana" w:hAnsi="Verdana" w:cs="Arial"/>
          <w:b/>
          <w:color w:val="104815"/>
          <w:sz w:val="20"/>
          <w:szCs w:val="20"/>
          <w:u w:val="single"/>
        </w:rPr>
        <w:t xml:space="preserve">Neue Vorschriften sind nach Annahme durch das EU-Parlament unmittelbar anwendbar </w:t>
      </w:r>
    </w:p>
    <w:p w:rsidR="00165B82" w:rsidRPr="00165B82" w:rsidRDefault="00165B82" w:rsidP="00165B82">
      <w:pPr>
        <w:autoSpaceDE w:val="0"/>
        <w:autoSpaceDN w:val="0"/>
        <w:adjustRightInd w:val="0"/>
        <w:jc w:val="both"/>
        <w:rPr>
          <w:rFonts w:ascii="Verdana" w:hAnsi="Verdana" w:cs="Arial"/>
          <w:color w:val="000000"/>
          <w:sz w:val="20"/>
          <w:szCs w:val="20"/>
        </w:rPr>
      </w:pPr>
      <w:r w:rsidRPr="00165B82">
        <w:rPr>
          <w:rFonts w:ascii="Verdana" w:hAnsi="Verdana" w:cs="Arial"/>
          <w:color w:val="000000"/>
          <w:sz w:val="20"/>
          <w:szCs w:val="20"/>
        </w:rPr>
        <w:t xml:space="preserve">Die neuen Regeln gelten für alle Arten von Düngemitteln. Mit der Verordnung wird ein Grenzwert für Kadmium in Phosphatdüngern eingeführt. Die Grenzwerte werden von 60 mg/kg auf 40 mg/kg (nach drei Jahren) und später auf 20 mg/kg (nach zwölf Jahren) gesenkt. </w:t>
      </w:r>
    </w:p>
    <w:p w:rsidR="00165B82" w:rsidRPr="00165B82" w:rsidRDefault="00165B82" w:rsidP="00165B82">
      <w:pPr>
        <w:autoSpaceDE w:val="0"/>
        <w:autoSpaceDN w:val="0"/>
        <w:adjustRightInd w:val="0"/>
        <w:jc w:val="both"/>
        <w:rPr>
          <w:rFonts w:ascii="Verdana" w:hAnsi="Verdana" w:cs="Arial"/>
          <w:color w:val="000000"/>
          <w:sz w:val="20"/>
          <w:szCs w:val="20"/>
        </w:rPr>
      </w:pPr>
      <w:r w:rsidRPr="00165B82">
        <w:rPr>
          <w:rFonts w:ascii="Verdana" w:hAnsi="Verdana" w:cs="Arial"/>
          <w:color w:val="000000"/>
          <w:sz w:val="20"/>
          <w:szCs w:val="20"/>
        </w:rPr>
        <w:t>Nach Zahlen der EU-Kommission werden derzeit 5 % der Bioa</w:t>
      </w:r>
      <w:r w:rsidR="00BE38E2">
        <w:rPr>
          <w:rFonts w:ascii="Verdana" w:hAnsi="Verdana" w:cs="Arial"/>
          <w:color w:val="000000"/>
          <w:sz w:val="20"/>
          <w:szCs w:val="20"/>
        </w:rPr>
        <w:t>bfälle recycelt. Nach Berechnun</w:t>
      </w:r>
      <w:r w:rsidRPr="00165B82">
        <w:rPr>
          <w:rFonts w:ascii="Verdana" w:hAnsi="Verdana" w:cs="Arial"/>
          <w:color w:val="000000"/>
          <w:sz w:val="20"/>
          <w:szCs w:val="20"/>
        </w:rPr>
        <w:t>gen der Kommission könnten bis zu 30 % der nichtorganischen Düngemittel ersetzt werden, wenn mehr Bioabfälle wiederverwertet würden. Derzeit importiert die EU jährlich etwa 6 Mio. t Phosphate, nach den Plänen der EU-Kommission sollen bis zu</w:t>
      </w:r>
      <w:r w:rsidR="00BE38E2">
        <w:rPr>
          <w:rFonts w:ascii="Verdana" w:hAnsi="Verdana" w:cs="Arial"/>
          <w:color w:val="000000"/>
          <w:sz w:val="20"/>
          <w:szCs w:val="20"/>
        </w:rPr>
        <w:t xml:space="preserve"> 30 % dieser Menge durch Extrak</w:t>
      </w:r>
      <w:r w:rsidRPr="00165B82">
        <w:rPr>
          <w:rFonts w:ascii="Verdana" w:hAnsi="Verdana" w:cs="Arial"/>
          <w:color w:val="000000"/>
          <w:sz w:val="20"/>
          <w:szCs w:val="20"/>
        </w:rPr>
        <w:t xml:space="preserve">tion aus Klärschlamm, biologisch abbaubaren Abfällen, Fleisch- und Knochenmehl oder Gülle ersetzt werden. </w:t>
      </w:r>
    </w:p>
    <w:p w:rsidR="00165B82" w:rsidRPr="00165B82" w:rsidRDefault="00165B82" w:rsidP="00165B82">
      <w:pPr>
        <w:spacing w:line="240" w:lineRule="atLeast"/>
        <w:jc w:val="both"/>
        <w:rPr>
          <w:rFonts w:ascii="Verdana" w:hAnsi="Verdana" w:cs="Helvetica"/>
          <w:sz w:val="20"/>
          <w:szCs w:val="20"/>
        </w:rPr>
      </w:pPr>
      <w:r w:rsidRPr="00165B82">
        <w:rPr>
          <w:rFonts w:ascii="Verdana" w:hAnsi="Verdana" w:cs="Arial"/>
          <w:color w:val="000000"/>
          <w:sz w:val="20"/>
          <w:szCs w:val="20"/>
        </w:rPr>
        <w:t>Der Verordnungsentwurf wird jetzt dem Europäischen Parlament und dem Rat zur Annahme übermittelt. Nach der Annahme wird sie nach einem Übergangszeitraum, der es Unternehmen und Behörden ermöglicht, sich auf die neuen Vorschriften vorzubereiten, unmittelbar anwendbar, ohne dass eine Umsetzung in nationales Recht erforderlich ist.</w:t>
      </w:r>
    </w:p>
    <w:p w:rsidR="00165B82" w:rsidRPr="00165B82" w:rsidRDefault="00165B82" w:rsidP="00165B82">
      <w:pPr>
        <w:pStyle w:val="StandardWeb"/>
        <w:spacing w:before="0" w:beforeAutospacing="0" w:after="0" w:afterAutospacing="0"/>
        <w:jc w:val="both"/>
        <w:rPr>
          <w:rFonts w:ascii="Verdana" w:hAnsi="Verdana"/>
          <w:color w:val="222222"/>
        </w:rPr>
      </w:pPr>
    </w:p>
    <w:p w:rsidR="003407C7" w:rsidRDefault="003407C7" w:rsidP="00653AFD">
      <w:pPr>
        <w:ind w:right="-60"/>
        <w:jc w:val="both"/>
        <w:rPr>
          <w:rFonts w:ascii="Verdana" w:hAnsi="Verdana"/>
          <w:sz w:val="20"/>
          <w:szCs w:val="20"/>
        </w:rPr>
      </w:pPr>
    </w:p>
    <w:p w:rsidR="00653AFD" w:rsidRPr="006246AA" w:rsidRDefault="00653AFD" w:rsidP="00653AFD">
      <w:pPr>
        <w:ind w:right="72"/>
        <w:jc w:val="both"/>
        <w:rPr>
          <w:rFonts w:ascii="Verdana" w:hAnsi="Verdana" w:cs="Arial"/>
          <w:b/>
          <w:color w:val="104815"/>
          <w:sz w:val="28"/>
          <w:szCs w:val="28"/>
          <w:u w:val="single"/>
        </w:rPr>
      </w:pPr>
      <w:r>
        <w:rPr>
          <w:rFonts w:ascii="Verdana" w:hAnsi="Verdana" w:cs="Arial"/>
          <w:b/>
          <w:color w:val="104815"/>
          <w:sz w:val="28"/>
          <w:szCs w:val="28"/>
          <w:u w:val="single"/>
        </w:rPr>
        <w:t>5</w:t>
      </w:r>
      <w:r w:rsidRPr="006246AA">
        <w:rPr>
          <w:rFonts w:ascii="Verdana" w:hAnsi="Verdana" w:cs="Arial"/>
          <w:b/>
          <w:color w:val="104815"/>
          <w:sz w:val="28"/>
          <w:szCs w:val="28"/>
          <w:u w:val="single"/>
        </w:rPr>
        <w:t xml:space="preserve">. </w:t>
      </w:r>
      <w:r w:rsidR="0081617C">
        <w:rPr>
          <w:rFonts w:ascii="Verdana" w:hAnsi="Verdana" w:cs="Arial"/>
          <w:b/>
          <w:color w:val="104815"/>
          <w:sz w:val="28"/>
          <w:szCs w:val="28"/>
          <w:u w:val="single"/>
        </w:rPr>
        <w:t>Erneuerbare Energien</w:t>
      </w:r>
    </w:p>
    <w:p w:rsidR="0081617C" w:rsidRDefault="0081617C" w:rsidP="005A2AD2">
      <w:pPr>
        <w:pStyle w:val="Default"/>
        <w:jc w:val="both"/>
        <w:rPr>
          <w:rFonts w:ascii="Verdana" w:hAnsi="Verdana"/>
          <w:sz w:val="20"/>
          <w:szCs w:val="20"/>
        </w:rPr>
      </w:pPr>
      <w:r>
        <w:rPr>
          <w:rFonts w:ascii="Verdana" w:hAnsi="Verdana"/>
          <w:b/>
          <w:color w:val="104815"/>
          <w:sz w:val="22"/>
          <w:szCs w:val="22"/>
        </w:rPr>
        <w:t>5.1. EEG-Novelle 2016</w:t>
      </w:r>
    </w:p>
    <w:p w:rsidR="0081617C" w:rsidRPr="0081617C" w:rsidRDefault="0081617C" w:rsidP="0081617C">
      <w:pPr>
        <w:autoSpaceDE w:val="0"/>
        <w:autoSpaceDN w:val="0"/>
        <w:adjustRightInd w:val="0"/>
        <w:jc w:val="both"/>
        <w:rPr>
          <w:rFonts w:ascii="Verdana" w:hAnsi="Verdana" w:cs="Calibri"/>
          <w:color w:val="000000"/>
          <w:sz w:val="20"/>
          <w:szCs w:val="20"/>
        </w:rPr>
      </w:pPr>
      <w:r w:rsidRPr="0081617C">
        <w:rPr>
          <w:rFonts w:ascii="Verdana" w:hAnsi="Verdana" w:cs="Calibri"/>
          <w:color w:val="000000"/>
          <w:sz w:val="20"/>
          <w:szCs w:val="20"/>
        </w:rPr>
        <w:t>Am 29. Februar 2016 wurde der Gesetzentwurf zur Neufassung des Erneuerbare-Energien-Gesetzes vom Bundesministerium für Wirtschaft und Energie veröffentlicht. Der Referentenentwurf sieht vor, dass der in EEG-Anlagen erzeugte Strom künftig grundsätzlich nur noch bezahlt wird, wenn die Anlagen erfolgreich an einer Ausschreibung teilgenommen haben, wie es bereits mit dem EEG 2014 beschlossen wurde. Zu diesem Zweck wird die Bundesnetzagentur (</w:t>
      </w:r>
      <w:proofErr w:type="spellStart"/>
      <w:r w:rsidRPr="0081617C">
        <w:rPr>
          <w:rFonts w:ascii="Verdana" w:hAnsi="Verdana" w:cs="Calibri"/>
          <w:color w:val="000000"/>
          <w:sz w:val="20"/>
          <w:szCs w:val="20"/>
        </w:rPr>
        <w:t>BNetzA</w:t>
      </w:r>
      <w:proofErr w:type="spellEnd"/>
      <w:r w:rsidRPr="0081617C">
        <w:rPr>
          <w:rFonts w:ascii="Verdana" w:hAnsi="Verdana" w:cs="Calibri"/>
          <w:color w:val="000000"/>
          <w:sz w:val="20"/>
          <w:szCs w:val="20"/>
        </w:rPr>
        <w:t>) die Zahlungen f</w:t>
      </w:r>
      <w:r w:rsidR="00BE38E2">
        <w:rPr>
          <w:rFonts w:ascii="Verdana" w:hAnsi="Verdana" w:cs="Calibri"/>
          <w:color w:val="000000"/>
          <w:sz w:val="20"/>
          <w:szCs w:val="20"/>
        </w:rPr>
        <w:t>ü</w:t>
      </w:r>
      <w:r w:rsidRPr="0081617C">
        <w:rPr>
          <w:rFonts w:ascii="Verdana" w:hAnsi="Verdana" w:cs="Calibri"/>
          <w:color w:val="000000"/>
          <w:sz w:val="20"/>
          <w:szCs w:val="20"/>
        </w:rPr>
        <w:t>r Strom aus neuen Anlagen regelm</w:t>
      </w:r>
      <w:r w:rsidR="00BE38E2">
        <w:rPr>
          <w:rFonts w:ascii="Verdana" w:hAnsi="Verdana" w:cs="Calibri"/>
          <w:color w:val="000000"/>
          <w:sz w:val="20"/>
          <w:szCs w:val="20"/>
        </w:rPr>
        <w:t>ä</w:t>
      </w:r>
      <w:r w:rsidRPr="0081617C">
        <w:rPr>
          <w:rFonts w:ascii="Verdana" w:hAnsi="Verdana" w:cs="Verdana"/>
          <w:color w:val="000000"/>
          <w:sz w:val="20"/>
          <w:szCs w:val="20"/>
        </w:rPr>
        <w:t>ß</w:t>
      </w:r>
      <w:r w:rsidRPr="0081617C">
        <w:rPr>
          <w:rFonts w:ascii="Verdana" w:hAnsi="Verdana" w:cs="Calibri"/>
          <w:color w:val="000000"/>
          <w:sz w:val="20"/>
          <w:szCs w:val="20"/>
        </w:rPr>
        <w:t xml:space="preserve">ig ausschreiben. Dabei werden die Ausschreibungsvolumen so bemessen, dass der Ausbaukorridor (40 bis 45 Prozent Erneuerbaren-Anteil im Jahr 2025) eingehalten wird. Kleinere Anlagen mit einer installierten Leistung 1 Megawatt </w:t>
      </w:r>
      <w:r w:rsidRPr="0081617C">
        <w:rPr>
          <w:rFonts w:ascii="Verdana" w:hAnsi="Verdana" w:cs="Calibri"/>
          <w:color w:val="000000"/>
          <w:sz w:val="20"/>
          <w:szCs w:val="20"/>
        </w:rPr>
        <w:lastRenderedPageBreak/>
        <w:t xml:space="preserve">(MW) sind von den Ausschreibungen ausgenommen und werden wie bisher vergütet. Folgende Technologien sind von den Ausschreibungen ausgenommen: </w:t>
      </w:r>
    </w:p>
    <w:p w:rsidR="0081617C" w:rsidRPr="0081617C" w:rsidRDefault="0081617C" w:rsidP="0081617C">
      <w:pPr>
        <w:pStyle w:val="Listenabsatz"/>
        <w:numPr>
          <w:ilvl w:val="0"/>
          <w:numId w:val="48"/>
        </w:numPr>
        <w:autoSpaceDE w:val="0"/>
        <w:autoSpaceDN w:val="0"/>
        <w:adjustRightInd w:val="0"/>
        <w:spacing w:after="17"/>
        <w:jc w:val="both"/>
        <w:rPr>
          <w:rFonts w:ascii="Verdana" w:hAnsi="Verdana" w:cs="Calibri"/>
          <w:color w:val="000000"/>
          <w:sz w:val="20"/>
          <w:szCs w:val="20"/>
        </w:rPr>
      </w:pPr>
      <w:r w:rsidRPr="0081617C">
        <w:rPr>
          <w:rFonts w:ascii="Verdana" w:hAnsi="Verdana" w:cs="Calibri"/>
          <w:color w:val="000000"/>
          <w:sz w:val="20"/>
          <w:szCs w:val="20"/>
        </w:rPr>
        <w:t xml:space="preserve">neue Wasserkraft-, </w:t>
      </w:r>
    </w:p>
    <w:p w:rsidR="0081617C" w:rsidRPr="0081617C" w:rsidRDefault="0081617C" w:rsidP="0081617C">
      <w:pPr>
        <w:pStyle w:val="Listenabsatz"/>
        <w:numPr>
          <w:ilvl w:val="0"/>
          <w:numId w:val="48"/>
        </w:numPr>
        <w:autoSpaceDE w:val="0"/>
        <w:autoSpaceDN w:val="0"/>
        <w:adjustRightInd w:val="0"/>
        <w:spacing w:after="17"/>
        <w:jc w:val="both"/>
        <w:rPr>
          <w:rFonts w:ascii="Verdana" w:hAnsi="Verdana" w:cs="Calibri"/>
          <w:color w:val="000000"/>
          <w:sz w:val="20"/>
          <w:szCs w:val="20"/>
        </w:rPr>
      </w:pPr>
      <w:r w:rsidRPr="0081617C">
        <w:rPr>
          <w:rFonts w:ascii="Verdana" w:hAnsi="Verdana" w:cs="Calibri"/>
          <w:color w:val="000000"/>
          <w:sz w:val="20"/>
          <w:szCs w:val="20"/>
        </w:rPr>
        <w:t xml:space="preserve">Geothermie-, </w:t>
      </w:r>
    </w:p>
    <w:p w:rsidR="0081617C" w:rsidRPr="0081617C" w:rsidRDefault="0081617C" w:rsidP="0081617C">
      <w:pPr>
        <w:pStyle w:val="Listenabsatz"/>
        <w:numPr>
          <w:ilvl w:val="0"/>
          <w:numId w:val="48"/>
        </w:numPr>
        <w:autoSpaceDE w:val="0"/>
        <w:autoSpaceDN w:val="0"/>
        <w:adjustRightInd w:val="0"/>
        <w:spacing w:after="17"/>
        <w:jc w:val="both"/>
        <w:rPr>
          <w:rFonts w:ascii="Verdana" w:hAnsi="Verdana" w:cs="Calibri"/>
          <w:color w:val="000000"/>
          <w:sz w:val="20"/>
          <w:szCs w:val="20"/>
        </w:rPr>
      </w:pPr>
      <w:r w:rsidRPr="0081617C">
        <w:rPr>
          <w:rFonts w:ascii="Verdana" w:hAnsi="Verdana" w:cs="Calibri"/>
          <w:color w:val="000000"/>
          <w:sz w:val="20"/>
          <w:szCs w:val="20"/>
        </w:rPr>
        <w:t xml:space="preserve">Deponiegas-, </w:t>
      </w:r>
    </w:p>
    <w:p w:rsidR="0081617C" w:rsidRPr="0081617C" w:rsidRDefault="0081617C" w:rsidP="0081617C">
      <w:pPr>
        <w:pStyle w:val="Listenabsatz"/>
        <w:numPr>
          <w:ilvl w:val="0"/>
          <w:numId w:val="48"/>
        </w:numPr>
        <w:autoSpaceDE w:val="0"/>
        <w:autoSpaceDN w:val="0"/>
        <w:adjustRightInd w:val="0"/>
        <w:jc w:val="both"/>
        <w:rPr>
          <w:rFonts w:ascii="Verdana" w:hAnsi="Verdana" w:cs="Calibri"/>
          <w:color w:val="000000"/>
          <w:sz w:val="20"/>
          <w:szCs w:val="20"/>
        </w:rPr>
      </w:pPr>
      <w:r w:rsidRPr="0081617C">
        <w:rPr>
          <w:rFonts w:ascii="Verdana" w:hAnsi="Verdana" w:cs="Calibri"/>
          <w:color w:val="000000"/>
          <w:sz w:val="20"/>
          <w:szCs w:val="20"/>
        </w:rPr>
        <w:t>Kl</w:t>
      </w:r>
      <w:r w:rsidR="00BE38E2">
        <w:rPr>
          <w:rFonts w:ascii="Verdana" w:hAnsi="Verdana" w:cs="Calibri"/>
          <w:color w:val="000000"/>
          <w:sz w:val="20"/>
          <w:szCs w:val="20"/>
        </w:rPr>
        <w:t>ä</w:t>
      </w:r>
      <w:r w:rsidRPr="0081617C">
        <w:rPr>
          <w:rFonts w:ascii="Verdana" w:hAnsi="Verdana" w:cs="Calibri"/>
          <w:color w:val="000000"/>
          <w:sz w:val="20"/>
          <w:szCs w:val="20"/>
        </w:rPr>
        <w:t xml:space="preserve">rgas- und Grubengasanlagen. </w:t>
      </w:r>
    </w:p>
    <w:p w:rsidR="0081617C" w:rsidRPr="0081617C" w:rsidRDefault="0081617C" w:rsidP="0081617C">
      <w:pPr>
        <w:autoSpaceDE w:val="0"/>
        <w:autoSpaceDN w:val="0"/>
        <w:adjustRightInd w:val="0"/>
        <w:jc w:val="both"/>
        <w:rPr>
          <w:rFonts w:ascii="Verdana" w:hAnsi="Verdana" w:cs="Calibri"/>
          <w:color w:val="000000"/>
          <w:sz w:val="20"/>
          <w:szCs w:val="20"/>
        </w:rPr>
      </w:pPr>
    </w:p>
    <w:p w:rsidR="0081617C" w:rsidRPr="0081617C" w:rsidRDefault="0081617C" w:rsidP="0081617C">
      <w:pPr>
        <w:autoSpaceDE w:val="0"/>
        <w:autoSpaceDN w:val="0"/>
        <w:adjustRightInd w:val="0"/>
        <w:jc w:val="both"/>
        <w:rPr>
          <w:rFonts w:ascii="Verdana" w:hAnsi="Verdana" w:cs="Calibri"/>
          <w:color w:val="000000"/>
          <w:sz w:val="20"/>
          <w:szCs w:val="20"/>
        </w:rPr>
      </w:pPr>
      <w:r w:rsidRPr="0081617C">
        <w:rPr>
          <w:rFonts w:ascii="Verdana" w:hAnsi="Verdana" w:cs="Calibri"/>
          <w:color w:val="000000"/>
          <w:sz w:val="20"/>
          <w:szCs w:val="20"/>
        </w:rPr>
        <w:t>Die Bundesregierung prüft derzeit – auch</w:t>
      </w:r>
      <w:r w:rsidR="00BE38E2">
        <w:rPr>
          <w:rFonts w:ascii="Verdana" w:hAnsi="Verdana" w:cs="Calibri"/>
          <w:color w:val="000000"/>
          <w:sz w:val="20"/>
          <w:szCs w:val="20"/>
        </w:rPr>
        <w:t xml:space="preserve"> auf Empfehlung des Bundesrates</w:t>
      </w:r>
      <w:r w:rsidRPr="0081617C">
        <w:rPr>
          <w:rFonts w:ascii="Verdana" w:hAnsi="Verdana" w:cs="Calibri"/>
          <w:color w:val="000000"/>
          <w:sz w:val="20"/>
          <w:szCs w:val="20"/>
        </w:rPr>
        <w:t xml:space="preserve"> –, wie Ausschreibungen für Biomasseanlagen sinnvoll umgesetzt werden können. Der Gesetzentwurf enth</w:t>
      </w:r>
      <w:r w:rsidR="00BE38E2">
        <w:rPr>
          <w:rFonts w:ascii="Verdana" w:hAnsi="Verdana" w:cs="Calibri"/>
          <w:color w:val="000000"/>
          <w:sz w:val="20"/>
          <w:szCs w:val="20"/>
        </w:rPr>
        <w:t>ä</w:t>
      </w:r>
      <w:r w:rsidRPr="0081617C">
        <w:rPr>
          <w:rFonts w:ascii="Verdana" w:hAnsi="Verdana" w:cs="Calibri"/>
          <w:color w:val="000000"/>
          <w:sz w:val="20"/>
          <w:szCs w:val="20"/>
        </w:rPr>
        <w:t>lt daher erste Eckpunkte und eine Verordnungserm</w:t>
      </w:r>
      <w:r w:rsidR="00BE38E2">
        <w:rPr>
          <w:rFonts w:ascii="Verdana" w:hAnsi="Verdana" w:cs="Calibri"/>
          <w:color w:val="000000"/>
          <w:sz w:val="20"/>
          <w:szCs w:val="20"/>
        </w:rPr>
        <w:t>ä</w:t>
      </w:r>
      <w:r w:rsidRPr="0081617C">
        <w:rPr>
          <w:rFonts w:ascii="Verdana" w:hAnsi="Verdana" w:cs="Calibri"/>
          <w:color w:val="000000"/>
          <w:sz w:val="20"/>
          <w:szCs w:val="20"/>
        </w:rPr>
        <w:t>chtigung f</w:t>
      </w:r>
      <w:r w:rsidR="00BE38E2">
        <w:rPr>
          <w:rFonts w:ascii="Verdana" w:hAnsi="Verdana" w:cs="Calibri"/>
          <w:color w:val="000000"/>
          <w:sz w:val="20"/>
          <w:szCs w:val="20"/>
        </w:rPr>
        <w:t>ü</w:t>
      </w:r>
      <w:r w:rsidRPr="0081617C">
        <w:rPr>
          <w:rFonts w:ascii="Verdana" w:hAnsi="Verdana" w:cs="Calibri"/>
          <w:color w:val="000000"/>
          <w:sz w:val="20"/>
          <w:szCs w:val="20"/>
        </w:rPr>
        <w:t>r die Umsetzung von Ausschreibungen f</w:t>
      </w:r>
      <w:r w:rsidR="00BE38E2">
        <w:rPr>
          <w:rFonts w:ascii="Verdana" w:hAnsi="Verdana" w:cs="Calibri"/>
          <w:color w:val="000000"/>
          <w:sz w:val="20"/>
          <w:szCs w:val="20"/>
        </w:rPr>
        <w:t>ü</w:t>
      </w:r>
      <w:r w:rsidRPr="0081617C">
        <w:rPr>
          <w:rFonts w:ascii="Verdana" w:hAnsi="Verdana" w:cs="Calibri"/>
          <w:color w:val="000000"/>
          <w:sz w:val="20"/>
          <w:szCs w:val="20"/>
        </w:rPr>
        <w:t>r Biomasseanlagen. Das Ausschreibungssystem soll insbesondere effizienten bestehenden Biomasseanlagen eine wirtschaftliche Anschlussperspektive bieten, hei</w:t>
      </w:r>
      <w:r w:rsidRPr="0081617C">
        <w:rPr>
          <w:rFonts w:ascii="Verdana" w:hAnsi="Verdana" w:cs="Verdana"/>
          <w:color w:val="000000"/>
          <w:sz w:val="20"/>
          <w:szCs w:val="20"/>
        </w:rPr>
        <w:t>ß</w:t>
      </w:r>
      <w:r w:rsidRPr="0081617C">
        <w:rPr>
          <w:rFonts w:ascii="Verdana" w:hAnsi="Verdana" w:cs="Calibri"/>
          <w:color w:val="000000"/>
          <w:sz w:val="20"/>
          <w:szCs w:val="20"/>
        </w:rPr>
        <w:t xml:space="preserve">t es im Referentenentwurf. </w:t>
      </w:r>
    </w:p>
    <w:p w:rsidR="00A010F0" w:rsidRDefault="0081617C" w:rsidP="0081617C">
      <w:pPr>
        <w:ind w:right="-60"/>
        <w:jc w:val="both"/>
        <w:rPr>
          <w:rFonts w:ascii="Verdana" w:hAnsi="Verdana"/>
          <w:sz w:val="20"/>
          <w:szCs w:val="20"/>
        </w:rPr>
      </w:pPr>
      <w:r w:rsidRPr="0081617C">
        <w:rPr>
          <w:rFonts w:ascii="Verdana" w:hAnsi="Verdana" w:cs="Calibri"/>
          <w:color w:val="000000"/>
          <w:sz w:val="20"/>
          <w:szCs w:val="20"/>
        </w:rPr>
        <w:t xml:space="preserve">Nach Auffassung von Branchenverbänden weisen die Vorschläge des </w:t>
      </w:r>
      <w:proofErr w:type="spellStart"/>
      <w:r w:rsidRPr="0081617C">
        <w:rPr>
          <w:rFonts w:ascii="Verdana" w:hAnsi="Verdana" w:cs="Calibri"/>
          <w:color w:val="000000"/>
          <w:sz w:val="20"/>
          <w:szCs w:val="20"/>
        </w:rPr>
        <w:t>BMWi</w:t>
      </w:r>
      <w:proofErr w:type="spellEnd"/>
      <w:r w:rsidRPr="0081617C">
        <w:rPr>
          <w:rFonts w:ascii="Verdana" w:hAnsi="Verdana" w:cs="Calibri"/>
          <w:color w:val="000000"/>
          <w:sz w:val="20"/>
          <w:szCs w:val="20"/>
        </w:rPr>
        <w:t xml:space="preserve"> grundsätzlich in die richtige Richtung, gehen aber nicht weit genug. „Eine Verordnungserm</w:t>
      </w:r>
      <w:r w:rsidR="00BE38E2">
        <w:rPr>
          <w:rFonts w:ascii="Verdana" w:hAnsi="Verdana" w:cs="Calibri"/>
          <w:color w:val="000000"/>
          <w:sz w:val="20"/>
          <w:szCs w:val="20"/>
        </w:rPr>
        <w:t>ä</w:t>
      </w:r>
      <w:r w:rsidRPr="0081617C">
        <w:rPr>
          <w:rFonts w:ascii="Verdana" w:hAnsi="Verdana" w:cs="Calibri"/>
          <w:color w:val="000000"/>
          <w:sz w:val="20"/>
          <w:szCs w:val="20"/>
        </w:rPr>
        <w:t xml:space="preserve">chtigung, mit der das Ministerium nach Belieben eine Entscheidung entweder treffen oder auch auf die lange Bank schieben könnte, schafft neue </w:t>
      </w:r>
      <w:r w:rsidRPr="0081617C">
        <w:rPr>
          <w:rFonts w:ascii="Verdana" w:hAnsi="Verdana"/>
          <w:sz w:val="20"/>
          <w:szCs w:val="20"/>
        </w:rPr>
        <w:t>Unsicherheit in der Bioenergiebranche. Tausenden Anlagenbetreibern, die umweltfreundlich Strom und W</w:t>
      </w:r>
      <w:r w:rsidR="00BE38E2">
        <w:rPr>
          <w:rFonts w:ascii="Verdana" w:hAnsi="Verdana"/>
          <w:sz w:val="20"/>
          <w:szCs w:val="20"/>
        </w:rPr>
        <w:t>ä</w:t>
      </w:r>
      <w:r w:rsidRPr="0081617C">
        <w:rPr>
          <w:rFonts w:ascii="Verdana" w:hAnsi="Verdana"/>
          <w:sz w:val="20"/>
          <w:szCs w:val="20"/>
        </w:rPr>
        <w:t>rme produzieren, droht damit ein rechtliches Vakuum</w:t>
      </w:r>
      <w:r w:rsidRPr="0081617C">
        <w:rPr>
          <w:rFonts w:ascii="Verdana" w:hAnsi="Verdana" w:cs="Verdana"/>
          <w:sz w:val="20"/>
          <w:szCs w:val="20"/>
        </w:rPr>
        <w:t>“</w:t>
      </w:r>
      <w:r w:rsidRPr="0081617C">
        <w:rPr>
          <w:rFonts w:ascii="Verdana" w:hAnsi="Verdana"/>
          <w:sz w:val="20"/>
          <w:szCs w:val="20"/>
        </w:rPr>
        <w:t>, kritisiert der Hauptgesch</w:t>
      </w:r>
      <w:r w:rsidR="00BE38E2">
        <w:rPr>
          <w:rFonts w:ascii="Verdana" w:hAnsi="Verdana"/>
          <w:sz w:val="20"/>
          <w:szCs w:val="20"/>
        </w:rPr>
        <w:t>ä</w:t>
      </w:r>
      <w:r w:rsidRPr="0081617C">
        <w:rPr>
          <w:rFonts w:ascii="Verdana" w:hAnsi="Verdana"/>
          <w:sz w:val="20"/>
          <w:szCs w:val="20"/>
        </w:rPr>
        <w:t>ftsf</w:t>
      </w:r>
      <w:r w:rsidR="00BE38E2">
        <w:rPr>
          <w:rFonts w:ascii="Verdana" w:hAnsi="Verdana"/>
          <w:sz w:val="20"/>
          <w:szCs w:val="20"/>
        </w:rPr>
        <w:t>ü</w:t>
      </w:r>
      <w:r w:rsidRPr="0081617C">
        <w:rPr>
          <w:rFonts w:ascii="Verdana" w:hAnsi="Verdana"/>
          <w:sz w:val="20"/>
          <w:szCs w:val="20"/>
        </w:rPr>
        <w:t>hrer des Fachverband Biogas e.V. (</w:t>
      </w:r>
      <w:proofErr w:type="spellStart"/>
      <w:r w:rsidRPr="0081617C">
        <w:rPr>
          <w:rFonts w:ascii="Verdana" w:hAnsi="Verdana"/>
          <w:sz w:val="20"/>
          <w:szCs w:val="20"/>
        </w:rPr>
        <w:t>FvB</w:t>
      </w:r>
      <w:proofErr w:type="spellEnd"/>
      <w:r w:rsidRPr="0081617C">
        <w:rPr>
          <w:rFonts w:ascii="Verdana" w:hAnsi="Verdana"/>
          <w:sz w:val="20"/>
          <w:szCs w:val="20"/>
        </w:rPr>
        <w:t>), Dr. Claudius da Costa Gomez. Verbandsvertreter äußerten darüber hinaus den Wunsch, dass sich auch bereits bestehende Anlagen um eine erneute Vergütung bewerben können und kleine Anlagen von der Ausschreibungspflicht ausgenommen sind. Wünschenswert aus Sicht vieler Verbände wäre, dass das Gesetz einen moderaten Zubau an Anlagen durch einen Netto-Ausbaupfad durch die Ausschreibungen ermöglicht. Aus Sicht der Biogasanlagenbetreiber ist eine neue Verordnung dringend erforderlich, da 2020 die feste Vergütungsgarantie ausläuft.</w:t>
      </w:r>
    </w:p>
    <w:p w:rsidR="0081617C" w:rsidRDefault="0081617C" w:rsidP="0081617C">
      <w:pPr>
        <w:ind w:right="-60"/>
        <w:jc w:val="both"/>
        <w:rPr>
          <w:rFonts w:ascii="Verdana" w:hAnsi="Verdana"/>
          <w:sz w:val="20"/>
          <w:szCs w:val="20"/>
        </w:rPr>
      </w:pPr>
    </w:p>
    <w:p w:rsidR="0081617C" w:rsidRDefault="0081617C" w:rsidP="0081617C">
      <w:pPr>
        <w:ind w:right="-60"/>
        <w:jc w:val="both"/>
        <w:rPr>
          <w:rFonts w:ascii="Verdana" w:hAnsi="Verdana"/>
          <w:sz w:val="20"/>
          <w:szCs w:val="20"/>
        </w:rPr>
      </w:pPr>
    </w:p>
    <w:p w:rsidR="0081617C" w:rsidRPr="0081617C" w:rsidRDefault="0081617C" w:rsidP="0081617C">
      <w:pPr>
        <w:pStyle w:val="Default"/>
        <w:jc w:val="both"/>
        <w:rPr>
          <w:rFonts w:ascii="Verdana" w:hAnsi="Verdana"/>
          <w:sz w:val="20"/>
          <w:szCs w:val="20"/>
        </w:rPr>
      </w:pPr>
      <w:r>
        <w:rPr>
          <w:rFonts w:ascii="Verdana" w:hAnsi="Verdana"/>
          <w:b/>
          <w:color w:val="104815"/>
          <w:sz w:val="22"/>
          <w:szCs w:val="22"/>
        </w:rPr>
        <w:t>5.2. EEG-Novelle: Ausstieg aus der Bioenergie, so der DBV</w:t>
      </w:r>
    </w:p>
    <w:p w:rsidR="0081617C" w:rsidRPr="0081617C" w:rsidRDefault="0081617C" w:rsidP="0081617C">
      <w:pPr>
        <w:spacing w:line="240" w:lineRule="atLeast"/>
        <w:jc w:val="both"/>
        <w:rPr>
          <w:rFonts w:ascii="Verdana" w:hAnsi="Verdana" w:cs="Helvetica"/>
          <w:sz w:val="20"/>
          <w:szCs w:val="20"/>
        </w:rPr>
      </w:pPr>
      <w:r w:rsidRPr="0081617C">
        <w:rPr>
          <w:rFonts w:ascii="Verdana" w:hAnsi="Verdana" w:cs="Helvetica"/>
          <w:sz w:val="20"/>
          <w:szCs w:val="20"/>
        </w:rPr>
        <w:t>Der jetzt vorliegende Referentenentwurf des Bundeswirtschaftsministeriums zur Novelle des Erneuerbare-Energien-Gesetzes (EEG) ist für den Deutschen Bauernverband (DBV) nicht akzeptabel. „Das EEG bietet keine Perspektive für die Bioenergie, sondern bedeutet Abbau."</w:t>
      </w:r>
    </w:p>
    <w:p w:rsidR="0081617C" w:rsidRPr="0081617C" w:rsidRDefault="0081617C" w:rsidP="0081617C">
      <w:pPr>
        <w:spacing w:line="240" w:lineRule="atLeast"/>
        <w:jc w:val="both"/>
        <w:rPr>
          <w:rFonts w:ascii="Verdana" w:hAnsi="Verdana" w:cs="Helvetica"/>
          <w:sz w:val="20"/>
          <w:szCs w:val="20"/>
        </w:rPr>
      </w:pPr>
      <w:r w:rsidRPr="0081617C">
        <w:rPr>
          <w:rFonts w:ascii="Verdana" w:hAnsi="Verdana" w:cs="Helvetica"/>
          <w:sz w:val="20"/>
          <w:szCs w:val="20"/>
        </w:rPr>
        <w:t>Der DBV fordert eine konkrete, ab 2017 geltende Anschlussregelung im EEG, um die Vorteile der Bioenergie für die Energiewende effektiv zu nutzen“, erklärte der Vorsitzende des Fachausschusses Erneuerbare Energien, Rainer Tietböhl, vor Journalisten in Berlin. „Die vom Bundeswirtschaftsministerium vorgeschlagene Verordnungsermächtigung und die Deckelung der Ausschreibungen sind völlig unzureichend“, so Tietböhl.</w:t>
      </w:r>
    </w:p>
    <w:p w:rsidR="0081617C" w:rsidRPr="0081617C" w:rsidRDefault="0081617C" w:rsidP="0081617C">
      <w:pPr>
        <w:spacing w:line="240" w:lineRule="atLeast"/>
        <w:jc w:val="both"/>
        <w:rPr>
          <w:rFonts w:ascii="Verdana" w:hAnsi="Verdana" w:cs="Helvetica"/>
          <w:sz w:val="20"/>
          <w:szCs w:val="20"/>
        </w:rPr>
      </w:pPr>
      <w:r w:rsidRPr="0081617C">
        <w:rPr>
          <w:rFonts w:ascii="Verdana" w:hAnsi="Verdana" w:cs="Helvetica"/>
          <w:sz w:val="20"/>
          <w:szCs w:val="20"/>
        </w:rPr>
        <w:t>Mit den vorgesehenen Regelungen würde die Bioenergie-Leistung in den kommenden 15 Jahren um etwa 80 Prozent abgebaut. Denn die im Gesetz vorgesehenen 100 Megawatt (MW) an jährlicher neuer Leistung bedeuteten einen massiven Rückbau, weil gleichzeitig ab 2020 etwa 400 MW pro Jahr aus der Förderung herausfallen. Der DBV fordert gemeinsam mit den Bioenergieverbänden eine Wahrung des derzeitigen Bestandes der Stromproduktion aus Biomasse.</w:t>
      </w:r>
    </w:p>
    <w:p w:rsidR="000631B4" w:rsidRDefault="000631B4" w:rsidP="0081617C">
      <w:pPr>
        <w:spacing w:line="240" w:lineRule="atLeast"/>
        <w:rPr>
          <w:rFonts w:ascii="Verdana" w:hAnsi="Verdana" w:cs="Helvetica"/>
          <w:sz w:val="20"/>
          <w:szCs w:val="20"/>
        </w:rPr>
      </w:pPr>
    </w:p>
    <w:p w:rsidR="0081617C" w:rsidRDefault="0081617C" w:rsidP="0081617C">
      <w:pPr>
        <w:spacing w:line="240" w:lineRule="atLeast"/>
        <w:rPr>
          <w:rFonts w:ascii="Verdana" w:hAnsi="Verdana" w:cs="Helvetica"/>
          <w:sz w:val="20"/>
          <w:szCs w:val="20"/>
        </w:rPr>
      </w:pPr>
      <w:r w:rsidRPr="0081617C">
        <w:rPr>
          <w:rFonts w:ascii="Verdana" w:hAnsi="Verdana" w:cs="Helvetica"/>
          <w:sz w:val="20"/>
          <w:szCs w:val="20"/>
        </w:rPr>
        <w:br/>
      </w:r>
      <w:r w:rsidRPr="0081617C">
        <w:rPr>
          <w:rFonts w:ascii="Verdana" w:hAnsi="Verdana" w:cs="Helvetica"/>
          <w:b/>
          <w:bCs/>
          <w:i/>
          <w:iCs/>
          <w:sz w:val="20"/>
          <w:szCs w:val="20"/>
        </w:rPr>
        <w:t>Eckpunkte der EEG-Novelle 2016:</w:t>
      </w:r>
      <w:r w:rsidRPr="0081617C">
        <w:rPr>
          <w:rFonts w:ascii="Verdana" w:hAnsi="Verdana" w:cs="Helvetica"/>
          <w:b/>
          <w:bCs/>
          <w:i/>
          <w:iCs/>
          <w:sz w:val="20"/>
          <w:szCs w:val="20"/>
        </w:rPr>
        <w:br/>
      </w:r>
      <w:r w:rsidRPr="0081617C">
        <w:rPr>
          <w:rFonts w:ascii="Verdana" w:hAnsi="Verdana" w:cs="Helvetica"/>
          <w:i/>
          <w:iCs/>
          <w:sz w:val="20"/>
          <w:szCs w:val="20"/>
        </w:rPr>
        <w:t>Ausschreibungsverfahren statt fester Fördersätze, sowohl für PV</w:t>
      </w:r>
      <w:r w:rsidR="0026368B">
        <w:rPr>
          <w:rFonts w:ascii="Verdana" w:hAnsi="Verdana" w:cs="Helvetica"/>
          <w:i/>
          <w:iCs/>
          <w:sz w:val="20"/>
          <w:szCs w:val="20"/>
        </w:rPr>
        <w:t>-</w:t>
      </w:r>
      <w:r w:rsidRPr="0081617C">
        <w:rPr>
          <w:rFonts w:ascii="Verdana" w:hAnsi="Verdana" w:cs="Helvetica"/>
          <w:i/>
          <w:iCs/>
          <w:sz w:val="20"/>
          <w:szCs w:val="20"/>
        </w:rPr>
        <w:t>Anlagen größer 1 MW als auch für Windkraft.</w:t>
      </w:r>
      <w:r w:rsidRPr="0081617C">
        <w:rPr>
          <w:rFonts w:ascii="Verdana" w:hAnsi="Verdana" w:cs="Helvetica"/>
          <w:sz w:val="20"/>
          <w:szCs w:val="20"/>
        </w:rPr>
        <w:br/>
      </w:r>
      <w:r w:rsidRPr="000631B4">
        <w:rPr>
          <w:rFonts w:ascii="Verdana" w:hAnsi="Verdana" w:cs="Helvetica"/>
          <w:i/>
          <w:iCs/>
          <w:sz w:val="20"/>
          <w:szCs w:val="20"/>
          <w:u w:val="single"/>
        </w:rPr>
        <w:t>Übergangsfristen:</w:t>
      </w:r>
      <w:r w:rsidRPr="0081617C">
        <w:rPr>
          <w:rFonts w:ascii="Verdana" w:hAnsi="Verdana" w:cs="Helvetica"/>
          <w:i/>
          <w:iCs/>
          <w:sz w:val="20"/>
          <w:szCs w:val="20"/>
        </w:rPr>
        <w:t xml:space="preserve"> für Windkraft offshore sukzessive ab Inbetriebnahme 2021. Für Windkraft an Land sollen die Ausschreibungen ab 2017 gelten.</w:t>
      </w:r>
      <w:r w:rsidRPr="0081617C">
        <w:rPr>
          <w:rFonts w:ascii="Verdana" w:hAnsi="Verdana" w:cs="Helvetica"/>
          <w:sz w:val="20"/>
          <w:szCs w:val="20"/>
        </w:rPr>
        <w:br/>
      </w:r>
      <w:r w:rsidRPr="000631B4">
        <w:rPr>
          <w:rFonts w:ascii="Verdana" w:hAnsi="Verdana" w:cs="Helvetica"/>
          <w:i/>
          <w:iCs/>
          <w:sz w:val="20"/>
          <w:szCs w:val="20"/>
          <w:u w:val="single"/>
        </w:rPr>
        <w:t>Hinterlegung von Sicherheiten:</w:t>
      </w:r>
      <w:r w:rsidRPr="0081617C">
        <w:rPr>
          <w:rFonts w:ascii="Verdana" w:hAnsi="Verdana" w:cs="Helvetica"/>
          <w:i/>
          <w:iCs/>
          <w:sz w:val="20"/>
          <w:szCs w:val="20"/>
        </w:rPr>
        <w:t xml:space="preserve"> Wer an einer Ausschreibung teilnimmt, muss eine Sicherheit von 30 Euro je Kilowatt installierter Leistung hinterlegen. Bei einem Windpark mit 3 MW sind das allein 90.000 Euro – zinslos und vorab hinterlegt.</w:t>
      </w:r>
      <w:r w:rsidRPr="0081617C">
        <w:rPr>
          <w:rFonts w:ascii="Verdana" w:hAnsi="Verdana" w:cs="Helvetica"/>
          <w:sz w:val="20"/>
          <w:szCs w:val="20"/>
        </w:rPr>
        <w:br/>
      </w:r>
      <w:r w:rsidRPr="0081617C">
        <w:rPr>
          <w:rFonts w:ascii="Verdana" w:hAnsi="Verdana" w:cs="Helvetica"/>
          <w:i/>
          <w:iCs/>
          <w:sz w:val="20"/>
          <w:szCs w:val="20"/>
        </w:rPr>
        <w:t>Verschiedene (geringe) Ausbaukorridore für die einzelnen EE.</w:t>
      </w:r>
      <w:r w:rsidRPr="0081617C">
        <w:rPr>
          <w:rFonts w:ascii="Verdana" w:hAnsi="Verdana" w:cs="Helvetica"/>
          <w:sz w:val="20"/>
          <w:szCs w:val="20"/>
        </w:rPr>
        <w:br/>
      </w:r>
      <w:r w:rsidRPr="0081617C">
        <w:rPr>
          <w:rFonts w:ascii="Verdana" w:hAnsi="Verdana" w:cs="Helvetica"/>
          <w:i/>
          <w:iCs/>
          <w:sz w:val="20"/>
          <w:szCs w:val="20"/>
        </w:rPr>
        <w:t>Für Bioenergie ist bisher noch keine neue Regelung vorgesehen.</w:t>
      </w:r>
      <w:r w:rsidRPr="0081617C">
        <w:rPr>
          <w:rFonts w:ascii="Verdana" w:hAnsi="Verdana" w:cs="Helvetica"/>
          <w:sz w:val="20"/>
          <w:szCs w:val="20"/>
        </w:rPr>
        <w:t xml:space="preserve"> </w:t>
      </w:r>
      <w:r>
        <w:rPr>
          <w:rFonts w:ascii="Verdana" w:hAnsi="Verdana" w:cs="Helvetica"/>
          <w:sz w:val="20"/>
          <w:szCs w:val="20"/>
        </w:rPr>
        <w:t>(</w:t>
      </w:r>
      <w:proofErr w:type="spellStart"/>
      <w:r w:rsidRPr="0081617C">
        <w:rPr>
          <w:rFonts w:ascii="Verdana" w:hAnsi="Verdana" w:cs="Helvetica"/>
          <w:i/>
          <w:iCs/>
          <w:sz w:val="20"/>
          <w:szCs w:val="20"/>
        </w:rPr>
        <w:t>agt</w:t>
      </w:r>
      <w:proofErr w:type="spellEnd"/>
      <w:r>
        <w:rPr>
          <w:rFonts w:ascii="Verdana" w:hAnsi="Verdana" w:cs="Helvetica"/>
          <w:sz w:val="20"/>
          <w:szCs w:val="20"/>
        </w:rPr>
        <w:t>)</w:t>
      </w:r>
    </w:p>
    <w:p w:rsidR="000631B4" w:rsidRDefault="000631B4" w:rsidP="0081617C">
      <w:pPr>
        <w:spacing w:line="240" w:lineRule="atLeast"/>
        <w:rPr>
          <w:rFonts w:ascii="Verdana" w:hAnsi="Verdana" w:cs="Helvetica"/>
          <w:sz w:val="20"/>
          <w:szCs w:val="20"/>
        </w:rPr>
      </w:pPr>
    </w:p>
    <w:p w:rsidR="000631B4" w:rsidRPr="0081617C" w:rsidRDefault="000631B4" w:rsidP="0081617C">
      <w:pPr>
        <w:spacing w:line="240" w:lineRule="atLeast"/>
        <w:rPr>
          <w:rFonts w:ascii="Verdana" w:hAnsi="Verdana" w:cs="Helvetica"/>
          <w:sz w:val="20"/>
          <w:szCs w:val="20"/>
        </w:rPr>
      </w:pPr>
    </w:p>
    <w:p w:rsidR="0081617C" w:rsidRPr="0081617C" w:rsidRDefault="0081617C" w:rsidP="0081617C">
      <w:pPr>
        <w:pStyle w:val="Default"/>
        <w:jc w:val="both"/>
        <w:rPr>
          <w:rFonts w:ascii="Verdana" w:hAnsi="Verdana"/>
          <w:sz w:val="20"/>
          <w:szCs w:val="20"/>
        </w:rPr>
      </w:pPr>
      <w:r>
        <w:rPr>
          <w:rFonts w:ascii="Verdana" w:hAnsi="Verdana"/>
          <w:b/>
          <w:color w:val="104815"/>
          <w:sz w:val="22"/>
          <w:szCs w:val="22"/>
        </w:rPr>
        <w:lastRenderedPageBreak/>
        <w:t>5.3. Fusion der Pflanzenölverbände BDOel und BVP</w:t>
      </w:r>
    </w:p>
    <w:p w:rsidR="0081617C" w:rsidRPr="0081617C" w:rsidRDefault="0081617C" w:rsidP="0081617C">
      <w:pPr>
        <w:autoSpaceDE w:val="0"/>
        <w:autoSpaceDN w:val="0"/>
        <w:adjustRightInd w:val="0"/>
        <w:jc w:val="both"/>
        <w:rPr>
          <w:rFonts w:ascii="Verdana" w:hAnsi="Verdana" w:cs="Calibri"/>
          <w:color w:val="000000"/>
          <w:sz w:val="20"/>
          <w:szCs w:val="20"/>
        </w:rPr>
      </w:pPr>
      <w:r w:rsidRPr="0081617C">
        <w:rPr>
          <w:rFonts w:ascii="Verdana" w:hAnsi="Verdana" w:cs="Calibri"/>
          <w:b/>
          <w:bCs/>
          <w:color w:val="000000"/>
          <w:sz w:val="20"/>
          <w:szCs w:val="20"/>
        </w:rPr>
        <w:t xml:space="preserve">Oberstes Ziel ist die Wiederbelebung des Bio-Reinkraftstoffmarktes. </w:t>
      </w:r>
    </w:p>
    <w:p w:rsidR="0081617C" w:rsidRPr="0081617C" w:rsidRDefault="0081617C" w:rsidP="0081617C">
      <w:pPr>
        <w:autoSpaceDE w:val="0"/>
        <w:autoSpaceDN w:val="0"/>
        <w:adjustRightInd w:val="0"/>
        <w:jc w:val="both"/>
        <w:rPr>
          <w:rFonts w:ascii="Verdana" w:hAnsi="Verdana" w:cs="Calibri"/>
          <w:color w:val="000000"/>
          <w:sz w:val="20"/>
          <w:szCs w:val="20"/>
        </w:rPr>
      </w:pPr>
      <w:r w:rsidRPr="0081617C">
        <w:rPr>
          <w:rFonts w:ascii="Verdana" w:hAnsi="Verdana" w:cs="Calibri"/>
          <w:color w:val="000000"/>
          <w:sz w:val="20"/>
          <w:szCs w:val="20"/>
        </w:rPr>
        <w:t>„Mit der Fusion unserer Pflanzenölverb</w:t>
      </w:r>
      <w:r w:rsidR="000631B4">
        <w:rPr>
          <w:rFonts w:ascii="Verdana" w:hAnsi="Verdana" w:cs="Calibri"/>
          <w:color w:val="000000"/>
          <w:sz w:val="20"/>
          <w:szCs w:val="20"/>
        </w:rPr>
        <w:t>ä</w:t>
      </w:r>
      <w:r w:rsidRPr="0081617C">
        <w:rPr>
          <w:rFonts w:ascii="Verdana" w:hAnsi="Verdana" w:cs="Calibri"/>
          <w:color w:val="000000"/>
          <w:sz w:val="20"/>
          <w:szCs w:val="20"/>
        </w:rPr>
        <w:t>nde erh</w:t>
      </w:r>
      <w:r w:rsidRPr="0081617C">
        <w:rPr>
          <w:rFonts w:ascii="Verdana" w:hAnsi="Verdana" w:cs="Verdana"/>
          <w:color w:val="000000"/>
          <w:sz w:val="20"/>
          <w:szCs w:val="20"/>
        </w:rPr>
        <w:t>ö</w:t>
      </w:r>
      <w:r w:rsidRPr="0081617C">
        <w:rPr>
          <w:rFonts w:ascii="Verdana" w:hAnsi="Verdana" w:cs="Calibri"/>
          <w:color w:val="000000"/>
          <w:sz w:val="20"/>
          <w:szCs w:val="20"/>
        </w:rPr>
        <w:t>hen wir unsere Schlagkraft und treten verst</w:t>
      </w:r>
      <w:r w:rsidR="000631B4">
        <w:rPr>
          <w:rFonts w:ascii="Verdana" w:hAnsi="Verdana" w:cs="Calibri"/>
          <w:color w:val="000000"/>
          <w:sz w:val="20"/>
          <w:szCs w:val="20"/>
        </w:rPr>
        <w:t>ä</w:t>
      </w:r>
      <w:r w:rsidRPr="0081617C">
        <w:rPr>
          <w:rFonts w:ascii="Verdana" w:hAnsi="Verdana" w:cs="Calibri"/>
          <w:color w:val="000000"/>
          <w:sz w:val="20"/>
          <w:szCs w:val="20"/>
        </w:rPr>
        <w:t>rkt an all die wichtigen Themen heran. Unser oberstes Ziel ist die Wiederbelebung des Bio-Reinkraftstoffmarktes</w:t>
      </w:r>
      <w:r w:rsidRPr="0081617C">
        <w:rPr>
          <w:rFonts w:ascii="Verdana" w:hAnsi="Verdana" w:cs="Verdana"/>
          <w:color w:val="000000"/>
          <w:sz w:val="20"/>
          <w:szCs w:val="20"/>
        </w:rPr>
        <w:t>“</w:t>
      </w:r>
      <w:r w:rsidRPr="0081617C">
        <w:rPr>
          <w:rFonts w:ascii="Verdana" w:hAnsi="Verdana" w:cs="Calibri"/>
          <w:color w:val="000000"/>
          <w:sz w:val="20"/>
          <w:szCs w:val="20"/>
        </w:rPr>
        <w:t>, sagte G</w:t>
      </w:r>
      <w:r w:rsidRPr="0081617C">
        <w:rPr>
          <w:rFonts w:ascii="Verdana" w:hAnsi="Verdana" w:cs="Verdana"/>
          <w:color w:val="000000"/>
          <w:sz w:val="20"/>
          <w:szCs w:val="20"/>
        </w:rPr>
        <w:t>ü</w:t>
      </w:r>
      <w:r w:rsidRPr="0081617C">
        <w:rPr>
          <w:rFonts w:ascii="Verdana" w:hAnsi="Verdana" w:cs="Calibri"/>
          <w:color w:val="000000"/>
          <w:sz w:val="20"/>
          <w:szCs w:val="20"/>
        </w:rPr>
        <w:t>nter Hell, Pr</w:t>
      </w:r>
      <w:r w:rsidRPr="0081617C">
        <w:rPr>
          <w:rFonts w:ascii="Verdana" w:hAnsi="Verdana" w:cs="Verdana"/>
          <w:color w:val="000000"/>
          <w:sz w:val="20"/>
          <w:szCs w:val="20"/>
        </w:rPr>
        <w:t>ä</w:t>
      </w:r>
      <w:r w:rsidRPr="0081617C">
        <w:rPr>
          <w:rFonts w:ascii="Verdana" w:hAnsi="Verdana" w:cs="Calibri"/>
          <w:color w:val="000000"/>
          <w:sz w:val="20"/>
          <w:szCs w:val="20"/>
        </w:rPr>
        <w:t>sident des nun rechtsg</w:t>
      </w:r>
      <w:r w:rsidRPr="0081617C">
        <w:rPr>
          <w:rFonts w:ascii="Verdana" w:hAnsi="Verdana" w:cs="Verdana"/>
          <w:color w:val="000000"/>
          <w:sz w:val="20"/>
          <w:szCs w:val="20"/>
        </w:rPr>
        <w:t>ü</w:t>
      </w:r>
      <w:r w:rsidRPr="0081617C">
        <w:rPr>
          <w:rFonts w:ascii="Verdana" w:hAnsi="Verdana" w:cs="Calibri"/>
          <w:color w:val="000000"/>
          <w:sz w:val="20"/>
          <w:szCs w:val="20"/>
        </w:rPr>
        <w:t xml:space="preserve">ltig fusionierten Bundesverbandes Dezentraler </w:t>
      </w:r>
      <w:r w:rsidRPr="0081617C">
        <w:rPr>
          <w:rFonts w:ascii="Verdana" w:hAnsi="Verdana" w:cs="Verdana"/>
          <w:color w:val="000000"/>
          <w:sz w:val="20"/>
          <w:szCs w:val="20"/>
        </w:rPr>
        <w:t>Ö</w:t>
      </w:r>
      <w:r w:rsidRPr="0081617C">
        <w:rPr>
          <w:rFonts w:ascii="Verdana" w:hAnsi="Verdana" w:cs="Calibri"/>
          <w:color w:val="000000"/>
          <w:sz w:val="20"/>
          <w:szCs w:val="20"/>
        </w:rPr>
        <w:t>lm</w:t>
      </w:r>
      <w:r w:rsidRPr="0081617C">
        <w:rPr>
          <w:rFonts w:ascii="Verdana" w:hAnsi="Verdana" w:cs="Verdana"/>
          <w:color w:val="000000"/>
          <w:sz w:val="20"/>
          <w:szCs w:val="20"/>
        </w:rPr>
        <w:t>ü</w:t>
      </w:r>
      <w:r w:rsidRPr="0081617C">
        <w:rPr>
          <w:rFonts w:ascii="Verdana" w:hAnsi="Verdana" w:cs="Calibri"/>
          <w:color w:val="000000"/>
          <w:sz w:val="20"/>
          <w:szCs w:val="20"/>
        </w:rPr>
        <w:t>hlen und Pflanzen</w:t>
      </w:r>
      <w:r w:rsidRPr="0081617C">
        <w:rPr>
          <w:rFonts w:ascii="Verdana" w:hAnsi="Verdana" w:cs="Verdana"/>
          <w:color w:val="000000"/>
          <w:sz w:val="20"/>
          <w:szCs w:val="20"/>
        </w:rPr>
        <w:t>ö</w:t>
      </w:r>
      <w:r w:rsidRPr="0081617C">
        <w:rPr>
          <w:rFonts w:ascii="Verdana" w:hAnsi="Verdana" w:cs="Calibri"/>
          <w:color w:val="000000"/>
          <w:sz w:val="20"/>
          <w:szCs w:val="20"/>
        </w:rPr>
        <w:t xml:space="preserve">ltechnik e.V. (BDOel). Hervorgegangen aus dem Bundesverband Dezentraler Ölmühlen e.V. (BDOel) und dem Bundesverband Pflanzenöle e.V. (BVP), erhielten Präsidium und Vorstände mit einstimmigen Beschluss und notariell beurkundet im Rahmen der Ölmüllertage in Fulda ihr Vertrauen von den Mitgliedern. Die Zusammenführung der Verbände verknüpft den Produktions-und Vermarktungsbereichs mit der technologischen Entwicklung und Umsetzung und schafft so größere Handlungsspielräume, um mit Politik, Wissenschaft und Industrie an innovativen Lösungen zu arbeiten. Die regionale und dezentrale Ausrichtung des Verbandes trägt der multifunktionellen und ressourcenschonenden Verwendung heimischer Ölpflanzen als Kraftstoff, Speiseöl oder auch als Schmier-und Verfahrensstoff in vollem Umfang Rechnung. </w:t>
      </w:r>
    </w:p>
    <w:p w:rsidR="0081617C" w:rsidRPr="0081617C" w:rsidRDefault="0081617C" w:rsidP="0081617C">
      <w:pPr>
        <w:autoSpaceDE w:val="0"/>
        <w:autoSpaceDN w:val="0"/>
        <w:adjustRightInd w:val="0"/>
        <w:jc w:val="both"/>
        <w:rPr>
          <w:rFonts w:ascii="Verdana" w:hAnsi="Verdana" w:cs="Calibri"/>
          <w:color w:val="000000"/>
          <w:sz w:val="20"/>
          <w:szCs w:val="20"/>
        </w:rPr>
      </w:pPr>
      <w:r w:rsidRPr="0081617C">
        <w:rPr>
          <w:rFonts w:ascii="Verdana" w:hAnsi="Verdana" w:cs="Calibri"/>
          <w:color w:val="000000"/>
          <w:sz w:val="20"/>
          <w:szCs w:val="20"/>
        </w:rPr>
        <w:t>„Die Lage f</w:t>
      </w:r>
      <w:r w:rsidR="000631B4">
        <w:rPr>
          <w:rFonts w:ascii="Verdana" w:hAnsi="Verdana" w:cs="Calibri"/>
          <w:color w:val="000000"/>
          <w:sz w:val="20"/>
          <w:szCs w:val="20"/>
        </w:rPr>
        <w:t>ü</w:t>
      </w:r>
      <w:r w:rsidRPr="0081617C">
        <w:rPr>
          <w:rFonts w:ascii="Verdana" w:hAnsi="Verdana" w:cs="Calibri"/>
          <w:color w:val="000000"/>
          <w:sz w:val="20"/>
          <w:szCs w:val="20"/>
        </w:rPr>
        <w:t>r Bio-Reinkraftstoffe ist weiter angespannt, der R</w:t>
      </w:r>
      <w:r w:rsidRPr="0081617C">
        <w:rPr>
          <w:rFonts w:ascii="Verdana" w:hAnsi="Verdana" w:cs="Verdana"/>
          <w:color w:val="000000"/>
          <w:sz w:val="20"/>
          <w:szCs w:val="20"/>
        </w:rPr>
        <w:t>ü</w:t>
      </w:r>
      <w:r w:rsidRPr="0081617C">
        <w:rPr>
          <w:rFonts w:ascii="Verdana" w:hAnsi="Verdana" w:cs="Calibri"/>
          <w:color w:val="000000"/>
          <w:sz w:val="20"/>
          <w:szCs w:val="20"/>
        </w:rPr>
        <w:t xml:space="preserve">ckgang von dezentralen </w:t>
      </w:r>
      <w:r w:rsidRPr="0081617C">
        <w:rPr>
          <w:rFonts w:ascii="Verdana" w:hAnsi="Verdana" w:cs="Verdana"/>
          <w:color w:val="000000"/>
          <w:sz w:val="20"/>
          <w:szCs w:val="20"/>
        </w:rPr>
        <w:t>Ö</w:t>
      </w:r>
      <w:r w:rsidRPr="0081617C">
        <w:rPr>
          <w:rFonts w:ascii="Verdana" w:hAnsi="Verdana" w:cs="Calibri"/>
          <w:color w:val="000000"/>
          <w:sz w:val="20"/>
          <w:szCs w:val="20"/>
        </w:rPr>
        <w:t>lm</w:t>
      </w:r>
      <w:r w:rsidRPr="0081617C">
        <w:rPr>
          <w:rFonts w:ascii="Verdana" w:hAnsi="Verdana" w:cs="Verdana"/>
          <w:color w:val="000000"/>
          <w:sz w:val="20"/>
          <w:szCs w:val="20"/>
        </w:rPr>
        <w:t>ü</w:t>
      </w:r>
      <w:r w:rsidRPr="0081617C">
        <w:rPr>
          <w:rFonts w:ascii="Verdana" w:hAnsi="Verdana" w:cs="Calibri"/>
          <w:color w:val="000000"/>
          <w:sz w:val="20"/>
          <w:szCs w:val="20"/>
        </w:rPr>
        <w:t xml:space="preserve">hlen dramatisch, die Diskussion um Nachhaltigkeit beim Anbau von Energiepflanzen in vollem Gange </w:t>
      </w:r>
      <w:r w:rsidRPr="0081617C">
        <w:rPr>
          <w:rFonts w:ascii="Verdana" w:hAnsi="Verdana" w:cs="Verdana"/>
          <w:color w:val="000000"/>
          <w:sz w:val="20"/>
          <w:szCs w:val="20"/>
        </w:rPr>
        <w:t>–</w:t>
      </w:r>
      <w:r w:rsidR="0026368B">
        <w:rPr>
          <w:rFonts w:ascii="Verdana" w:hAnsi="Verdana" w:cs="Verdana"/>
          <w:color w:val="000000"/>
          <w:sz w:val="20"/>
          <w:szCs w:val="20"/>
        </w:rPr>
        <w:t xml:space="preserve"> </w:t>
      </w:r>
      <w:r w:rsidRPr="0081617C">
        <w:rPr>
          <w:rFonts w:ascii="Verdana" w:hAnsi="Verdana" w:cs="Calibri"/>
          <w:color w:val="000000"/>
          <w:sz w:val="20"/>
          <w:szCs w:val="20"/>
        </w:rPr>
        <w:t>unsere Mitglieder brauchen eine starke Stimme, die ihre Interessen unterst</w:t>
      </w:r>
      <w:r w:rsidR="000631B4">
        <w:rPr>
          <w:rFonts w:ascii="Verdana" w:hAnsi="Verdana" w:cs="Calibri"/>
          <w:color w:val="000000"/>
          <w:sz w:val="20"/>
          <w:szCs w:val="20"/>
        </w:rPr>
        <w:t>ü</w:t>
      </w:r>
      <w:r w:rsidRPr="0081617C">
        <w:rPr>
          <w:rFonts w:ascii="Verdana" w:hAnsi="Verdana" w:cs="Calibri"/>
          <w:color w:val="000000"/>
          <w:sz w:val="20"/>
          <w:szCs w:val="20"/>
        </w:rPr>
        <w:t>tzt und artikuliert</w:t>
      </w:r>
      <w:r w:rsidRPr="0081617C">
        <w:rPr>
          <w:rFonts w:ascii="Verdana" w:hAnsi="Verdana" w:cs="Verdana"/>
          <w:color w:val="000000"/>
          <w:sz w:val="20"/>
          <w:szCs w:val="20"/>
        </w:rPr>
        <w:t>“</w:t>
      </w:r>
      <w:r w:rsidRPr="0081617C">
        <w:rPr>
          <w:rFonts w:ascii="Verdana" w:hAnsi="Verdana" w:cs="Calibri"/>
          <w:color w:val="000000"/>
          <w:sz w:val="20"/>
          <w:szCs w:val="20"/>
        </w:rPr>
        <w:t>, erl</w:t>
      </w:r>
      <w:r w:rsidR="000631B4">
        <w:rPr>
          <w:rFonts w:ascii="Verdana" w:hAnsi="Verdana" w:cs="Calibri"/>
          <w:color w:val="000000"/>
          <w:sz w:val="20"/>
          <w:szCs w:val="20"/>
        </w:rPr>
        <w:t>äu</w:t>
      </w:r>
      <w:r w:rsidRPr="0081617C">
        <w:rPr>
          <w:rFonts w:ascii="Verdana" w:hAnsi="Verdana" w:cs="Calibri"/>
          <w:color w:val="000000"/>
          <w:sz w:val="20"/>
          <w:szCs w:val="20"/>
        </w:rPr>
        <w:t xml:space="preserve">terte Hell. </w:t>
      </w:r>
      <w:r w:rsidRPr="0081617C">
        <w:rPr>
          <w:rFonts w:ascii="Verdana" w:hAnsi="Verdana" w:cs="Verdana"/>
          <w:color w:val="000000"/>
          <w:sz w:val="20"/>
          <w:szCs w:val="20"/>
        </w:rPr>
        <w:t>„</w:t>
      </w:r>
      <w:r w:rsidRPr="0081617C">
        <w:rPr>
          <w:rFonts w:ascii="Verdana" w:hAnsi="Verdana" w:cs="Calibri"/>
          <w:color w:val="000000"/>
          <w:sz w:val="20"/>
          <w:szCs w:val="20"/>
        </w:rPr>
        <w:t>Uns liegen die gleichen Themen am Herzen. Die Fusion war ein logischer Schritt, um diesen Interessen ein st</w:t>
      </w:r>
      <w:r w:rsidR="000631B4">
        <w:rPr>
          <w:rFonts w:ascii="Verdana" w:hAnsi="Verdana" w:cs="Calibri"/>
          <w:color w:val="000000"/>
          <w:sz w:val="20"/>
          <w:szCs w:val="20"/>
        </w:rPr>
        <w:t>ä</w:t>
      </w:r>
      <w:r w:rsidRPr="0081617C">
        <w:rPr>
          <w:rFonts w:ascii="Verdana" w:hAnsi="Verdana" w:cs="Calibri"/>
          <w:color w:val="000000"/>
          <w:sz w:val="20"/>
          <w:szCs w:val="20"/>
        </w:rPr>
        <w:t>rkeres Gewicht zu geben</w:t>
      </w:r>
      <w:r w:rsidRPr="0081617C">
        <w:rPr>
          <w:rFonts w:ascii="Verdana" w:hAnsi="Verdana" w:cs="Verdana"/>
          <w:color w:val="000000"/>
          <w:sz w:val="20"/>
          <w:szCs w:val="20"/>
        </w:rPr>
        <w:t>“</w:t>
      </w:r>
      <w:r w:rsidRPr="0081617C">
        <w:rPr>
          <w:rFonts w:ascii="Verdana" w:hAnsi="Verdana" w:cs="Calibri"/>
          <w:color w:val="000000"/>
          <w:sz w:val="20"/>
          <w:szCs w:val="20"/>
        </w:rPr>
        <w:t>, bekr</w:t>
      </w:r>
      <w:r w:rsidR="000631B4">
        <w:rPr>
          <w:rFonts w:ascii="Verdana" w:hAnsi="Verdana" w:cs="Calibri"/>
          <w:color w:val="000000"/>
          <w:sz w:val="20"/>
          <w:szCs w:val="20"/>
        </w:rPr>
        <w:t>ä</w:t>
      </w:r>
      <w:r w:rsidRPr="0081617C">
        <w:rPr>
          <w:rFonts w:ascii="Verdana" w:hAnsi="Verdana" w:cs="Calibri"/>
          <w:color w:val="000000"/>
          <w:sz w:val="20"/>
          <w:szCs w:val="20"/>
        </w:rPr>
        <w:t>ftigte Hans-Wilhelm Jan</w:t>
      </w:r>
      <w:r w:rsidRPr="0081617C">
        <w:rPr>
          <w:rFonts w:ascii="Verdana" w:hAnsi="Verdana" w:cs="Verdana"/>
          <w:color w:val="000000"/>
          <w:sz w:val="20"/>
          <w:szCs w:val="20"/>
        </w:rPr>
        <w:t>ß</w:t>
      </w:r>
      <w:r w:rsidRPr="0081617C">
        <w:rPr>
          <w:rFonts w:ascii="Verdana" w:hAnsi="Verdana" w:cs="Calibri"/>
          <w:color w:val="000000"/>
          <w:sz w:val="20"/>
          <w:szCs w:val="20"/>
        </w:rPr>
        <w:t>en, der bislang als Vorsitzender die Interessen des BVP vertrat. Die dezentral Ölsaaten verarbeitenden Ölmühlen, deren Zahl von 2007 bis heute von 585 auf 274 gesunken ist, sollen wieder aktiviert werden. Ihr Hauptgeschäft lag einst im Absatz von Rapsölkraftstoff –</w:t>
      </w:r>
      <w:r w:rsidR="0026368B">
        <w:rPr>
          <w:rFonts w:ascii="Verdana" w:hAnsi="Verdana" w:cs="Calibri"/>
          <w:color w:val="000000"/>
          <w:sz w:val="20"/>
          <w:szCs w:val="20"/>
        </w:rPr>
        <w:t xml:space="preserve"> </w:t>
      </w:r>
      <w:r w:rsidRPr="0081617C">
        <w:rPr>
          <w:rFonts w:ascii="Verdana" w:hAnsi="Verdana" w:cs="Calibri"/>
          <w:color w:val="000000"/>
          <w:sz w:val="20"/>
          <w:szCs w:val="20"/>
        </w:rPr>
        <w:t xml:space="preserve">von 772.000 Tonnen im Jahr 2007 wurden 2011 gerade noch 15.000 Tonnen abgesetzt. Der Produktionsschwerpunkt Rapsölkraftstoff in seiner dezentralen Struktur ist jedoch ein wichtiger Erwerbszweig im Mittelstand und stützt die regionale Wertschöpfung. Die derzeitigen politischen Rahmenbedingungen machen den Einsatz von Bio-Reinkraftstoffen aber wirtschaftlich nicht rentabel. Insofern braucht es neue Konzepte, die ihre Anwendung wieder attraktiv machen und gleichzeitig dem Umweltschutz Rechnung tragen. </w:t>
      </w:r>
    </w:p>
    <w:p w:rsidR="0081617C" w:rsidRPr="0081617C" w:rsidRDefault="0081617C" w:rsidP="0081617C">
      <w:pPr>
        <w:autoSpaceDE w:val="0"/>
        <w:autoSpaceDN w:val="0"/>
        <w:adjustRightInd w:val="0"/>
        <w:jc w:val="both"/>
        <w:rPr>
          <w:rFonts w:ascii="Verdana" w:hAnsi="Verdana" w:cs="Calibri"/>
          <w:color w:val="000000"/>
          <w:sz w:val="20"/>
          <w:szCs w:val="20"/>
        </w:rPr>
      </w:pPr>
      <w:r w:rsidRPr="0081617C">
        <w:rPr>
          <w:rFonts w:ascii="Verdana" w:hAnsi="Verdana" w:cs="Calibri"/>
          <w:color w:val="000000"/>
          <w:sz w:val="20"/>
          <w:szCs w:val="20"/>
        </w:rPr>
        <w:t xml:space="preserve">Um die ökologische Nachhaltigkeit zu gewährleisten, braucht es abgesteckte Absatzmärkte. </w:t>
      </w:r>
    </w:p>
    <w:p w:rsidR="00B15B5F" w:rsidRPr="0081617C" w:rsidRDefault="0081617C" w:rsidP="0081617C">
      <w:pPr>
        <w:ind w:right="-60"/>
        <w:jc w:val="both"/>
        <w:rPr>
          <w:rFonts w:ascii="Verdana" w:hAnsi="Verdana"/>
          <w:sz w:val="20"/>
          <w:szCs w:val="20"/>
        </w:rPr>
      </w:pPr>
      <w:r w:rsidRPr="0081617C">
        <w:rPr>
          <w:rFonts w:ascii="Verdana" w:hAnsi="Verdana" w:cs="Calibri"/>
          <w:color w:val="000000"/>
          <w:sz w:val="20"/>
          <w:szCs w:val="20"/>
        </w:rPr>
        <w:t>Die deutsche Land-und Forstwirtschaft, deren Kraftstoffbedarf auf rund vier Prozent der heimischen Flächen produziert werden kann, erhält beim Pressen der Rapssaat zwei Drittel als hochwertiges Eiweißfuttermittel und ersetzt dadurch Importe aus Übersee. Zudem hat Rapsölkraftstoff die besten Werte zur Reduzierung von Treibhausgas-Emissionen. „Auch wenn es unserer Branche derzeit nicht gut geht -</w:t>
      </w:r>
      <w:r w:rsidR="0026368B">
        <w:rPr>
          <w:rFonts w:ascii="Verdana" w:hAnsi="Verdana" w:cs="Calibri"/>
          <w:color w:val="000000"/>
          <w:sz w:val="20"/>
          <w:szCs w:val="20"/>
        </w:rPr>
        <w:t xml:space="preserve"> </w:t>
      </w:r>
      <w:r w:rsidRPr="0081617C">
        <w:rPr>
          <w:rFonts w:ascii="Verdana" w:hAnsi="Verdana" w:cs="Calibri"/>
          <w:color w:val="000000"/>
          <w:sz w:val="20"/>
          <w:szCs w:val="20"/>
        </w:rPr>
        <w:t>wir haben viele Vorteile und gehen mit frischem Mut an die vielfältigen Aufgaben heran“, sagte Hell. Daf</w:t>
      </w:r>
      <w:r w:rsidR="000631B4">
        <w:rPr>
          <w:rFonts w:ascii="Verdana" w:hAnsi="Verdana" w:cs="Calibri"/>
          <w:color w:val="000000"/>
          <w:sz w:val="20"/>
          <w:szCs w:val="20"/>
        </w:rPr>
        <w:t>ü</w:t>
      </w:r>
      <w:r w:rsidRPr="0081617C">
        <w:rPr>
          <w:rFonts w:ascii="Verdana" w:hAnsi="Verdana" w:cs="Calibri"/>
          <w:color w:val="000000"/>
          <w:sz w:val="20"/>
          <w:szCs w:val="20"/>
        </w:rPr>
        <w:t xml:space="preserve">r gilt es, verschiedene Akteure der Branche an einen Tisch zu holen. </w:t>
      </w:r>
      <w:r w:rsidRPr="0081617C">
        <w:rPr>
          <w:rFonts w:ascii="Verdana" w:hAnsi="Verdana" w:cs="Verdana"/>
          <w:color w:val="000000"/>
          <w:sz w:val="20"/>
          <w:szCs w:val="20"/>
        </w:rPr>
        <w:t>„</w:t>
      </w:r>
      <w:r w:rsidRPr="0081617C">
        <w:rPr>
          <w:rFonts w:ascii="Verdana" w:hAnsi="Verdana" w:cs="Calibri"/>
          <w:color w:val="000000"/>
          <w:sz w:val="20"/>
          <w:szCs w:val="20"/>
        </w:rPr>
        <w:t>Wir suchen den Dialog und streben eine aktive Zusammenarbeit mit beteiligten Verb</w:t>
      </w:r>
      <w:r w:rsidR="000631B4">
        <w:rPr>
          <w:rFonts w:ascii="Verdana" w:hAnsi="Verdana" w:cs="Calibri"/>
          <w:color w:val="000000"/>
          <w:sz w:val="20"/>
          <w:szCs w:val="20"/>
        </w:rPr>
        <w:t>ä</w:t>
      </w:r>
      <w:r w:rsidRPr="0081617C">
        <w:rPr>
          <w:rFonts w:ascii="Verdana" w:hAnsi="Verdana" w:cs="Calibri"/>
          <w:color w:val="000000"/>
          <w:sz w:val="20"/>
          <w:szCs w:val="20"/>
        </w:rPr>
        <w:t>nden und Organisationen an</w:t>
      </w:r>
      <w:r w:rsidRPr="0081617C">
        <w:rPr>
          <w:rFonts w:ascii="Verdana" w:hAnsi="Verdana" w:cs="Verdana"/>
          <w:color w:val="000000"/>
          <w:sz w:val="20"/>
          <w:szCs w:val="20"/>
        </w:rPr>
        <w:t>“</w:t>
      </w:r>
      <w:r w:rsidRPr="0081617C">
        <w:rPr>
          <w:rFonts w:ascii="Verdana" w:hAnsi="Verdana" w:cs="Calibri"/>
          <w:color w:val="000000"/>
          <w:sz w:val="20"/>
          <w:szCs w:val="20"/>
        </w:rPr>
        <w:t>, so Hell.</w:t>
      </w:r>
    </w:p>
    <w:p w:rsidR="00B15B5F" w:rsidRDefault="00B15B5F" w:rsidP="00205801">
      <w:pPr>
        <w:ind w:right="-60"/>
        <w:jc w:val="both"/>
        <w:rPr>
          <w:rFonts w:ascii="Verdana" w:hAnsi="Verdana"/>
          <w:sz w:val="20"/>
          <w:szCs w:val="20"/>
        </w:rPr>
      </w:pPr>
    </w:p>
    <w:p w:rsidR="00B15B5F" w:rsidRPr="00C33F45" w:rsidRDefault="00B15B5F" w:rsidP="00205801">
      <w:pPr>
        <w:ind w:right="-60"/>
        <w:jc w:val="both"/>
        <w:rPr>
          <w:rFonts w:ascii="Verdana" w:hAnsi="Verdana"/>
          <w:sz w:val="20"/>
          <w:szCs w:val="20"/>
        </w:rPr>
      </w:pPr>
    </w:p>
    <w:p w:rsidR="00EA6639" w:rsidRPr="00C33F45" w:rsidRDefault="002B508F" w:rsidP="00CA6F81">
      <w:pPr>
        <w:ind w:right="-62"/>
        <w:jc w:val="both"/>
        <w:rPr>
          <w:rFonts w:ascii="Verdana" w:hAnsi="Verdana"/>
          <w:sz w:val="20"/>
          <w:szCs w:val="20"/>
        </w:rPr>
      </w:pPr>
      <w:r w:rsidRPr="00C33F45">
        <w:rPr>
          <w:rFonts w:ascii="Verdana" w:hAnsi="Verdana"/>
          <w:sz w:val="20"/>
          <w:szCs w:val="20"/>
        </w:rPr>
        <w:t>Mi</w:t>
      </w:r>
      <w:r w:rsidR="00AE3C51" w:rsidRPr="00C33F45">
        <w:rPr>
          <w:rFonts w:ascii="Verdana" w:hAnsi="Verdana"/>
          <w:sz w:val="20"/>
          <w:szCs w:val="20"/>
        </w:rPr>
        <w:t xml:space="preserve">t </w:t>
      </w:r>
      <w:r w:rsidR="008D3C6C" w:rsidRPr="00C33F45">
        <w:rPr>
          <w:rFonts w:ascii="Verdana" w:hAnsi="Verdana"/>
          <w:sz w:val="20"/>
          <w:szCs w:val="20"/>
        </w:rPr>
        <w:t>f</w:t>
      </w:r>
      <w:r w:rsidR="00AE3C51" w:rsidRPr="00C33F45">
        <w:rPr>
          <w:rFonts w:ascii="Verdana" w:hAnsi="Verdana"/>
          <w:sz w:val="20"/>
          <w:szCs w:val="20"/>
        </w:rPr>
        <w:t>reundlichen Grüßen</w:t>
      </w:r>
    </w:p>
    <w:p w:rsidR="00B32847" w:rsidRDefault="00B32847" w:rsidP="002D54FD">
      <w:pPr>
        <w:jc w:val="both"/>
        <w:rPr>
          <w:rFonts w:ascii="Century Gothic" w:hAnsi="Century Gothic"/>
          <w:sz w:val="18"/>
          <w:szCs w:val="18"/>
        </w:rPr>
      </w:pPr>
    </w:p>
    <w:p w:rsidR="00B32847" w:rsidRDefault="00BD6C2B" w:rsidP="002D54FD">
      <w:pPr>
        <w:jc w:val="both"/>
        <w:rPr>
          <w:rFonts w:ascii="Century Gothic" w:hAnsi="Century Gothic"/>
          <w:sz w:val="18"/>
          <w:szCs w:val="18"/>
        </w:rPr>
      </w:pPr>
      <w:r>
        <w:rPr>
          <w:rFonts w:ascii="Century Gothic" w:hAnsi="Century Gothic"/>
          <w:noProof/>
          <w:sz w:val="18"/>
          <w:szCs w:val="18"/>
        </w:rPr>
        <w:drawing>
          <wp:anchor distT="0" distB="0" distL="114300" distR="114300" simplePos="0" relativeHeight="251658752" behindDoc="0" locked="0" layoutInCell="1" allowOverlap="1" wp14:anchorId="2AE14A35" wp14:editId="1FE8AA66">
            <wp:simplePos x="0" y="0"/>
            <wp:positionH relativeFrom="column">
              <wp:posOffset>-89535</wp:posOffset>
            </wp:positionH>
            <wp:positionV relativeFrom="paragraph">
              <wp:posOffset>43180</wp:posOffset>
            </wp:positionV>
            <wp:extent cx="1143000" cy="401955"/>
            <wp:effectExtent l="0" t="0" r="0" b="0"/>
            <wp:wrapTopAndBottom/>
            <wp:docPr id="4" name="Grafik 4" descr="~AU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02"/>
                    <pic:cNvPicPr>
                      <a:picLocks noChangeAspect="1" noChangeArrowheads="1"/>
                    </pic:cNvPicPr>
                  </pic:nvPicPr>
                  <pic:blipFill>
                    <a:blip r:embed="rId42" cstate="print">
                      <a:lum bright="12000"/>
                      <a:extLst>
                        <a:ext uri="{28A0092B-C50C-407E-A947-70E740481C1C}">
                          <a14:useLocalDpi xmlns:a14="http://schemas.microsoft.com/office/drawing/2010/main" val="0"/>
                        </a:ext>
                      </a:extLst>
                    </a:blip>
                    <a:srcRect l="8516" t="13878" r="26717" b="27525"/>
                    <a:stretch>
                      <a:fillRect/>
                    </a:stretch>
                  </pic:blipFill>
                  <pic:spPr bwMode="auto">
                    <a:xfrm>
                      <a:off x="0" y="0"/>
                      <a:ext cx="1143000" cy="40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C51" w:rsidRPr="00C33F45" w:rsidRDefault="00AE3C51" w:rsidP="002D54FD">
      <w:pPr>
        <w:jc w:val="both"/>
        <w:rPr>
          <w:rFonts w:ascii="Verdana" w:hAnsi="Verdana"/>
          <w:sz w:val="20"/>
          <w:szCs w:val="20"/>
        </w:rPr>
      </w:pPr>
      <w:r w:rsidRPr="00C33F45">
        <w:rPr>
          <w:rFonts w:ascii="Verdana" w:hAnsi="Verdana"/>
          <w:sz w:val="20"/>
          <w:szCs w:val="20"/>
        </w:rPr>
        <w:t>H.-Jochen Conrad</w:t>
      </w:r>
    </w:p>
    <w:p w:rsidR="00B15EB0" w:rsidRPr="00C33F45" w:rsidRDefault="00AE3C51" w:rsidP="00B15EB0">
      <w:pPr>
        <w:jc w:val="both"/>
        <w:rPr>
          <w:rFonts w:ascii="Verdana" w:hAnsi="Verdana"/>
          <w:sz w:val="20"/>
          <w:szCs w:val="20"/>
        </w:rPr>
      </w:pPr>
      <w:r w:rsidRPr="00C33F45">
        <w:rPr>
          <w:rFonts w:ascii="Verdana" w:hAnsi="Verdana"/>
          <w:sz w:val="20"/>
          <w:szCs w:val="20"/>
        </w:rPr>
        <w:t>Geschäftsführer</w:t>
      </w:r>
    </w:p>
    <w:p w:rsidR="00701F5A" w:rsidRDefault="00701F5A" w:rsidP="00B15EB0">
      <w:pPr>
        <w:jc w:val="both"/>
        <w:rPr>
          <w:rFonts w:ascii="Verdana" w:hAnsi="Verdana"/>
          <w:sz w:val="20"/>
          <w:szCs w:val="20"/>
        </w:rPr>
      </w:pPr>
    </w:p>
    <w:p w:rsidR="00701F5A" w:rsidRPr="00C33F45" w:rsidRDefault="00701F5A" w:rsidP="00B15EB0">
      <w:pPr>
        <w:jc w:val="both"/>
        <w:rPr>
          <w:rFonts w:ascii="Verdana" w:hAnsi="Verdana"/>
          <w:sz w:val="20"/>
          <w:szCs w:val="20"/>
        </w:rPr>
      </w:pPr>
    </w:p>
    <w:p w:rsidR="00F41ADF" w:rsidRPr="006F535C" w:rsidRDefault="00BD6C2B" w:rsidP="002B508F">
      <w:pPr>
        <w:jc w:val="both"/>
        <w:rPr>
          <w:rFonts w:ascii="Verdana" w:hAnsi="Verdana"/>
          <w:b/>
          <w:sz w:val="20"/>
          <w:szCs w:val="20"/>
          <w:u w:val="single"/>
        </w:rPr>
      </w:pPr>
      <w:r w:rsidRPr="006F535C">
        <w:rPr>
          <w:rFonts w:ascii="Verdana" w:hAnsi="Verdana"/>
          <w:b/>
          <w:sz w:val="20"/>
          <w:szCs w:val="20"/>
          <w:u w:val="single"/>
        </w:rPr>
        <w:t>Anlage</w:t>
      </w:r>
      <w:r w:rsidR="009B47FE" w:rsidRPr="006F535C">
        <w:rPr>
          <w:rFonts w:ascii="Verdana" w:hAnsi="Verdana"/>
          <w:b/>
          <w:sz w:val="20"/>
          <w:szCs w:val="20"/>
          <w:u w:val="single"/>
        </w:rPr>
        <w:t>n</w:t>
      </w:r>
      <w:r w:rsidRPr="006F535C">
        <w:rPr>
          <w:rFonts w:ascii="Verdana" w:hAnsi="Verdana"/>
          <w:b/>
          <w:sz w:val="20"/>
          <w:szCs w:val="20"/>
          <w:u w:val="single"/>
        </w:rPr>
        <w:t xml:space="preserve"> zur Info</w:t>
      </w:r>
    </w:p>
    <w:p w:rsidR="00B575B5" w:rsidRDefault="0081617C" w:rsidP="00B15B5F">
      <w:pPr>
        <w:pStyle w:val="Listenabsatz"/>
        <w:numPr>
          <w:ilvl w:val="0"/>
          <w:numId w:val="47"/>
        </w:numPr>
        <w:jc w:val="both"/>
        <w:rPr>
          <w:rFonts w:ascii="Verdana" w:hAnsi="Verdana"/>
          <w:sz w:val="20"/>
          <w:szCs w:val="20"/>
        </w:rPr>
      </w:pPr>
      <w:r>
        <w:rPr>
          <w:rFonts w:ascii="Verdana" w:hAnsi="Verdana"/>
          <w:sz w:val="20"/>
          <w:szCs w:val="20"/>
        </w:rPr>
        <w:t>Pressemitteilungen des Bundesverbandes der Agrargewerblichen Wirtschaft e. V.</w:t>
      </w:r>
    </w:p>
    <w:p w:rsidR="00B15B5F" w:rsidRDefault="0081617C" w:rsidP="00B15B5F">
      <w:pPr>
        <w:pStyle w:val="Listenabsatz"/>
        <w:numPr>
          <w:ilvl w:val="0"/>
          <w:numId w:val="47"/>
        </w:numPr>
        <w:jc w:val="both"/>
        <w:rPr>
          <w:rFonts w:ascii="Verdana" w:hAnsi="Verdana"/>
          <w:sz w:val="20"/>
          <w:szCs w:val="20"/>
        </w:rPr>
      </w:pPr>
      <w:r>
        <w:rPr>
          <w:rFonts w:ascii="Verdana" w:hAnsi="Verdana"/>
          <w:sz w:val="20"/>
          <w:szCs w:val="20"/>
        </w:rPr>
        <w:t>Interview mit BVA-Präsident Konrad Weiterer</w:t>
      </w:r>
    </w:p>
    <w:p w:rsidR="0081617C" w:rsidRDefault="0081617C" w:rsidP="00B15B5F">
      <w:pPr>
        <w:pStyle w:val="Listenabsatz"/>
        <w:numPr>
          <w:ilvl w:val="0"/>
          <w:numId w:val="47"/>
        </w:numPr>
        <w:jc w:val="both"/>
        <w:rPr>
          <w:rFonts w:ascii="Verdana" w:hAnsi="Verdana"/>
          <w:sz w:val="20"/>
          <w:szCs w:val="20"/>
        </w:rPr>
      </w:pPr>
      <w:r>
        <w:rPr>
          <w:rFonts w:ascii="Verdana" w:hAnsi="Verdana"/>
          <w:sz w:val="20"/>
          <w:szCs w:val="20"/>
        </w:rPr>
        <w:t>Artikel aus der Bauernzeitung „Nachbarschaftshilfe oder Lohnarbeit“</w:t>
      </w:r>
    </w:p>
    <w:p w:rsidR="00956873" w:rsidRPr="00956873" w:rsidRDefault="00956873" w:rsidP="00956873">
      <w:pPr>
        <w:jc w:val="both"/>
        <w:rPr>
          <w:rFonts w:ascii="Century Gothic" w:hAnsi="Century Gothic"/>
          <w:sz w:val="18"/>
          <w:szCs w:val="18"/>
        </w:rPr>
      </w:pPr>
    </w:p>
    <w:sectPr w:rsidR="00956873" w:rsidRPr="00956873" w:rsidSect="00D1156E">
      <w:type w:val="continuous"/>
      <w:pgSz w:w="11906" w:h="16838" w:code="9"/>
      <w:pgMar w:top="1417" w:right="1417" w:bottom="1134" w:left="1417" w:header="709" w:footer="709" w:gutter="0"/>
      <w:cols w:sep="1" w:space="59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3FC" w:rsidRDefault="00E563FC">
      <w:r>
        <w:separator/>
      </w:r>
    </w:p>
  </w:endnote>
  <w:endnote w:type="continuationSeparator" w:id="0">
    <w:p w:rsidR="00E563FC" w:rsidRDefault="00E5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F3F" w:rsidRPr="006C3A49" w:rsidRDefault="004C1F3F" w:rsidP="006C3A49">
    <w:pPr>
      <w:pStyle w:val="Fuzeile"/>
      <w:rPr>
        <w:szCs w:val="16"/>
      </w:rPr>
    </w:pPr>
    <w:r w:rsidRPr="006C3A49">
      <w:rPr>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F3F" w:rsidRPr="00C33F45" w:rsidRDefault="004C1F3F" w:rsidP="006F535C">
    <w:pPr>
      <w:pStyle w:val="Fuzeile"/>
      <w:pBdr>
        <w:top w:val="threeDEmboss" w:sz="24" w:space="0" w:color="auto"/>
      </w:pBdr>
      <w:jc w:val="center"/>
      <w:rPr>
        <w:rFonts w:ascii="Verdana" w:hAnsi="Verdana"/>
        <w:sz w:val="18"/>
        <w:szCs w:val="18"/>
      </w:rPr>
    </w:pPr>
    <w:r w:rsidRPr="00C33F45">
      <w:rPr>
        <w:rFonts w:ascii="Verdana" w:hAnsi="Verdana"/>
        <w:sz w:val="18"/>
        <w:szCs w:val="18"/>
      </w:rPr>
      <w:t>Agroservice &amp; Lohnunternehmerverband Nordost e. V.</w:t>
    </w:r>
  </w:p>
  <w:p w:rsidR="004C1F3F" w:rsidRDefault="004C1F3F" w:rsidP="006F535C">
    <w:pPr>
      <w:pStyle w:val="Fuzeile"/>
      <w:pBdr>
        <w:top w:val="threeDEmboss" w:sz="24" w:space="0" w:color="auto"/>
      </w:pBdr>
      <w:jc w:val="center"/>
      <w:rPr>
        <w:rFonts w:ascii="Verdana" w:hAnsi="Verdana"/>
        <w:sz w:val="12"/>
        <w:szCs w:val="12"/>
      </w:rPr>
    </w:pPr>
    <w:r>
      <w:rPr>
        <w:rFonts w:ascii="Verdana" w:hAnsi="Verdana"/>
        <w:sz w:val="12"/>
        <w:szCs w:val="12"/>
      </w:rPr>
      <w:t>Berliner Allee 37 d (Brunnenpassage)</w:t>
    </w:r>
  </w:p>
  <w:p w:rsidR="004C1F3F" w:rsidRDefault="004C1F3F" w:rsidP="006F535C">
    <w:pPr>
      <w:pStyle w:val="Fuzeile"/>
      <w:pBdr>
        <w:top w:val="threeDEmboss" w:sz="24" w:space="0" w:color="auto"/>
      </w:pBdr>
      <w:jc w:val="center"/>
      <w:rPr>
        <w:rFonts w:ascii="Verdana" w:hAnsi="Verdana"/>
        <w:sz w:val="12"/>
        <w:szCs w:val="12"/>
      </w:rPr>
    </w:pPr>
    <w:r>
      <w:rPr>
        <w:rFonts w:ascii="Verdana" w:hAnsi="Verdana"/>
        <w:sz w:val="12"/>
        <w:szCs w:val="12"/>
      </w:rPr>
      <w:t>15345 Altlandsberg</w:t>
    </w:r>
  </w:p>
  <w:p w:rsidR="004C1F3F" w:rsidRDefault="004C1F3F" w:rsidP="006F535C">
    <w:pPr>
      <w:pStyle w:val="Fuzeile"/>
      <w:pBdr>
        <w:top w:val="threeDEmboss" w:sz="24" w:space="0" w:color="auto"/>
      </w:pBdr>
      <w:jc w:val="center"/>
      <w:rPr>
        <w:rFonts w:ascii="Verdana" w:hAnsi="Verdana"/>
        <w:sz w:val="12"/>
        <w:szCs w:val="12"/>
      </w:rPr>
    </w:pPr>
    <w:r>
      <w:rPr>
        <w:rFonts w:ascii="Verdana" w:hAnsi="Verdana"/>
        <w:sz w:val="12"/>
        <w:szCs w:val="12"/>
      </w:rPr>
      <w:t>Telefon: 033438  66048</w:t>
    </w:r>
  </w:p>
  <w:p w:rsidR="004C1F3F" w:rsidRDefault="004C1F3F" w:rsidP="006F535C">
    <w:pPr>
      <w:pStyle w:val="Fuzeile"/>
      <w:pBdr>
        <w:top w:val="threeDEmboss" w:sz="24" w:space="0" w:color="auto"/>
      </w:pBdr>
      <w:jc w:val="center"/>
      <w:rPr>
        <w:rFonts w:asciiTheme="majorHAnsi" w:eastAsiaTheme="majorEastAsia" w:hAnsiTheme="majorHAnsi" w:cstheme="majorBidi"/>
      </w:rPr>
    </w:pPr>
    <w:r>
      <w:rPr>
        <w:rFonts w:ascii="Verdana" w:hAnsi="Verdana"/>
        <w:sz w:val="12"/>
        <w:szCs w:val="12"/>
      </w:rPr>
      <w:t>Fax: 033438  66227</w:t>
    </w:r>
  </w:p>
  <w:p w:rsidR="004C1F3F" w:rsidRDefault="004C1F3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3FC" w:rsidRDefault="00E563FC">
      <w:r>
        <w:separator/>
      </w:r>
    </w:p>
  </w:footnote>
  <w:footnote w:type="continuationSeparator" w:id="0">
    <w:p w:rsidR="00E563FC" w:rsidRDefault="00E56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F3F" w:rsidRDefault="004C1F3F" w:rsidP="00F15D18">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4C1F3F" w:rsidRDefault="004C1F3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F3F" w:rsidRDefault="004C1F3F" w:rsidP="00F15D18">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A7DEF">
      <w:rPr>
        <w:rStyle w:val="Seitenzahl"/>
        <w:noProof/>
      </w:rPr>
      <w:t>17</w:t>
    </w:r>
    <w:r>
      <w:rPr>
        <w:rStyle w:val="Seitenzahl"/>
      </w:rPr>
      <w:fldChar w:fldCharType="end"/>
    </w:r>
  </w:p>
  <w:p w:rsidR="004C1F3F" w:rsidRPr="00333EBF" w:rsidRDefault="004C1F3F" w:rsidP="000C5F7D">
    <w:pPr>
      <w:pStyle w:val="Kopfzeile"/>
      <w:pBdr>
        <w:bottom w:val="single" w:sz="4" w:space="1" w:color="auto"/>
      </w:pBdr>
      <w:jc w:val="right"/>
      <w:rPr>
        <w:rFonts w:ascii="Arial" w:hAnsi="Arial" w:cs="Arial"/>
        <w:sz w:val="18"/>
        <w:szCs w:val="18"/>
      </w:rPr>
    </w:pPr>
    <w:r w:rsidRPr="00D729B5">
      <w:rPr>
        <w:szCs w:val="16"/>
      </w:rPr>
      <w:t xml:space="preserve"> </w:t>
    </w:r>
    <w:r>
      <w:rPr>
        <w:rFonts w:ascii="Arial" w:hAnsi="Arial" w:cs="Arial"/>
        <w:sz w:val="18"/>
        <w:szCs w:val="18"/>
      </w:rPr>
      <w:t>Mitgliederinfo 04</w:t>
    </w:r>
    <w:r w:rsidRPr="00333EBF">
      <w:rPr>
        <w:rFonts w:ascii="Arial" w:hAnsi="Arial" w:cs="Arial"/>
        <w:sz w:val="18"/>
        <w:szCs w:val="18"/>
      </w:rPr>
      <w:t>/2016 /</w:t>
    </w:r>
    <w:r>
      <w:rPr>
        <w:rFonts w:ascii="Arial" w:hAnsi="Arial" w:cs="Arial"/>
        <w:sz w:val="18"/>
        <w:szCs w:val="18"/>
      </w:rPr>
      <w:t xml:space="preserve"> 20.04</w:t>
    </w:r>
    <w:r w:rsidRPr="00333EBF">
      <w:rPr>
        <w:rFonts w:ascii="Arial" w:hAnsi="Arial" w:cs="Arial"/>
        <w:sz w:val="18"/>
        <w:szCs w:val="18"/>
      </w:rPr>
      <w:t>.2016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F3F" w:rsidRDefault="004C1F3F" w:rsidP="000C5F7D">
    <w:pPr>
      <w:pBdr>
        <w:bottom w:val="threeDEmboss" w:sz="24" w:space="1" w:color="auto"/>
        <w:between w:val="threeDEmboss" w:sz="24" w:space="1" w:color="auto"/>
      </w:pBdr>
      <w:ind w:left="567"/>
      <w:jc w:val="right"/>
      <w:rPr>
        <w:rFonts w:ascii="Broadway" w:hAnsi="Broadway"/>
        <w:b/>
        <w:color w:val="4F6228" w:themeColor="accent3" w:themeShade="80"/>
        <w:sz w:val="28"/>
        <w:szCs w:val="28"/>
      </w:rPr>
    </w:pPr>
    <w:r>
      <w:rPr>
        <w:noProof/>
      </w:rPr>
      <mc:AlternateContent>
        <mc:Choice Requires="wps">
          <w:drawing>
            <wp:anchor distT="0" distB="0" distL="114300" distR="114300" simplePos="0" relativeHeight="251663360" behindDoc="0" locked="0" layoutInCell="1" allowOverlap="1" wp14:anchorId="60FDFEB3" wp14:editId="0B20F57E">
              <wp:simplePos x="0" y="0"/>
              <wp:positionH relativeFrom="column">
                <wp:posOffset>1090295</wp:posOffset>
              </wp:positionH>
              <wp:positionV relativeFrom="paragraph">
                <wp:posOffset>-4445</wp:posOffset>
              </wp:positionV>
              <wp:extent cx="3788410" cy="1221105"/>
              <wp:effectExtent l="0" t="0" r="2540" b="0"/>
              <wp:wrapNone/>
              <wp:docPr id="16" name="Textfeld 16"/>
              <wp:cNvGraphicFramePr/>
              <a:graphic xmlns:a="http://schemas.openxmlformats.org/drawingml/2006/main">
                <a:graphicData uri="http://schemas.microsoft.com/office/word/2010/wordprocessingShape">
                  <wps:wsp>
                    <wps:cNvSpPr txBox="1"/>
                    <wps:spPr>
                      <a:xfrm>
                        <a:off x="0" y="0"/>
                        <a:ext cx="3788410" cy="122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F3F" w:rsidRDefault="004C1F3F" w:rsidP="0070738F">
                          <w:pPr>
                            <w:ind w:left="567"/>
                            <w:jc w:val="center"/>
                            <w:rPr>
                              <w:rFonts w:ascii="Broadway" w:hAnsi="Broadway"/>
                              <w:b/>
                              <w:color w:val="4F6228" w:themeColor="accent3" w:themeShade="80"/>
                              <w:sz w:val="28"/>
                              <w:szCs w:val="28"/>
                            </w:rPr>
                          </w:pPr>
                        </w:p>
                        <w:p w:rsidR="004C1F3F" w:rsidRPr="00701F5A" w:rsidRDefault="004C1F3F" w:rsidP="0070738F">
                          <w:pPr>
                            <w:ind w:left="567"/>
                            <w:jc w:val="center"/>
                            <w:rPr>
                              <w:rFonts w:ascii="Broadway" w:hAnsi="Broadway"/>
                              <w:b/>
                              <w:color w:val="104815"/>
                              <w:sz w:val="32"/>
                              <w:szCs w:val="32"/>
                            </w:rPr>
                          </w:pPr>
                          <w:r w:rsidRPr="00701F5A">
                            <w:rPr>
                              <w:rFonts w:ascii="Broadway" w:hAnsi="Broadway"/>
                              <w:b/>
                              <w:color w:val="104815"/>
                              <w:sz w:val="32"/>
                              <w:szCs w:val="32"/>
                            </w:rPr>
                            <w:t>Agroservice &amp;</w:t>
                          </w:r>
                        </w:p>
                        <w:p w:rsidR="004C1F3F" w:rsidRPr="00701F5A" w:rsidRDefault="004C1F3F" w:rsidP="0070738F">
                          <w:pPr>
                            <w:ind w:left="567"/>
                            <w:jc w:val="center"/>
                            <w:rPr>
                              <w:rFonts w:ascii="Broadway" w:hAnsi="Broadway"/>
                              <w:b/>
                              <w:color w:val="104815"/>
                              <w:sz w:val="32"/>
                              <w:szCs w:val="32"/>
                              <w:highlight w:val="darkYellow"/>
                            </w:rPr>
                          </w:pPr>
                          <w:r w:rsidRPr="00701F5A">
                            <w:rPr>
                              <w:rFonts w:ascii="Broadway" w:hAnsi="Broadway"/>
                              <w:b/>
                              <w:color w:val="104815"/>
                              <w:sz w:val="32"/>
                              <w:szCs w:val="32"/>
                            </w:rPr>
                            <w:t>Lohnunternehmerverband</w:t>
                          </w:r>
                        </w:p>
                        <w:p w:rsidR="004C1F3F" w:rsidRPr="00701F5A" w:rsidRDefault="004C1F3F" w:rsidP="0070738F">
                          <w:pPr>
                            <w:ind w:left="567"/>
                            <w:jc w:val="center"/>
                            <w:rPr>
                              <w:rFonts w:ascii="Broadway" w:hAnsi="Broadway"/>
                              <w:b/>
                              <w:color w:val="104815"/>
                              <w:sz w:val="32"/>
                              <w:szCs w:val="32"/>
                            </w:rPr>
                          </w:pPr>
                          <w:r w:rsidRPr="00701F5A">
                            <w:rPr>
                              <w:rFonts w:ascii="Broadway" w:hAnsi="Broadway"/>
                              <w:b/>
                              <w:color w:val="104815"/>
                              <w:sz w:val="32"/>
                              <w:szCs w:val="32"/>
                            </w:rPr>
                            <w:t>Nordost e. V.</w:t>
                          </w:r>
                        </w:p>
                        <w:p w:rsidR="004C1F3F" w:rsidRDefault="004C1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6" o:spid="_x0000_s1027" type="#_x0000_t202" style="position:absolute;left:0;text-align:left;margin-left:85.85pt;margin-top:-.35pt;width:298.3pt;height:96.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" fillcolor="white [3201]" stroked="f" strokeweight=".5pt">
              <v:textbox>
                <w:txbxContent>
                  <w:p w:rsidR="004C1F3F" w:rsidRDefault="004C1F3F" w:rsidP="0070738F">
                    <w:pPr>
                      <w:ind w:left="567"/>
                      <w:jc w:val="center"/>
                      <w:rPr>
                        <w:rFonts w:ascii="Broadway" w:hAnsi="Broadway"/>
                        <w:b/>
                        <w:color w:val="4F6228" w:themeColor="accent3" w:themeShade="80"/>
                        <w:sz w:val="28"/>
                        <w:szCs w:val="28"/>
                      </w:rPr>
                    </w:pPr>
                  </w:p>
                  <w:p w:rsidR="004C1F3F" w:rsidRPr="00701F5A" w:rsidRDefault="004C1F3F" w:rsidP="0070738F">
                    <w:pPr>
                      <w:ind w:left="567"/>
                      <w:jc w:val="center"/>
                      <w:rPr>
                        <w:rFonts w:ascii="Broadway" w:hAnsi="Broadway"/>
                        <w:b/>
                        <w:color w:val="104815"/>
                        <w:sz w:val="32"/>
                        <w:szCs w:val="32"/>
                      </w:rPr>
                    </w:pPr>
                    <w:r w:rsidRPr="00701F5A">
                      <w:rPr>
                        <w:rFonts w:ascii="Broadway" w:hAnsi="Broadway"/>
                        <w:b/>
                        <w:color w:val="104815"/>
                        <w:sz w:val="32"/>
                        <w:szCs w:val="32"/>
                      </w:rPr>
                      <w:t>Agroservice &amp;</w:t>
                    </w:r>
                  </w:p>
                  <w:p w:rsidR="004C1F3F" w:rsidRPr="00701F5A" w:rsidRDefault="004C1F3F" w:rsidP="0070738F">
                    <w:pPr>
                      <w:ind w:left="567"/>
                      <w:jc w:val="center"/>
                      <w:rPr>
                        <w:rFonts w:ascii="Broadway" w:hAnsi="Broadway"/>
                        <w:b/>
                        <w:color w:val="104815"/>
                        <w:sz w:val="32"/>
                        <w:szCs w:val="32"/>
                        <w:highlight w:val="darkYellow"/>
                      </w:rPr>
                    </w:pPr>
                    <w:r w:rsidRPr="00701F5A">
                      <w:rPr>
                        <w:rFonts w:ascii="Broadway" w:hAnsi="Broadway"/>
                        <w:b/>
                        <w:color w:val="104815"/>
                        <w:sz w:val="32"/>
                        <w:szCs w:val="32"/>
                      </w:rPr>
                      <w:t>Lohnunternehmerverband</w:t>
                    </w:r>
                  </w:p>
                  <w:p w:rsidR="004C1F3F" w:rsidRPr="00701F5A" w:rsidRDefault="004C1F3F" w:rsidP="0070738F">
                    <w:pPr>
                      <w:ind w:left="567"/>
                      <w:jc w:val="center"/>
                      <w:rPr>
                        <w:rFonts w:ascii="Broadway" w:hAnsi="Broadway"/>
                        <w:b/>
                        <w:color w:val="104815"/>
                        <w:sz w:val="32"/>
                        <w:szCs w:val="32"/>
                      </w:rPr>
                    </w:pPr>
                    <w:r w:rsidRPr="00701F5A">
                      <w:rPr>
                        <w:rFonts w:ascii="Broadway" w:hAnsi="Broadway"/>
                        <w:b/>
                        <w:color w:val="104815"/>
                        <w:sz w:val="32"/>
                        <w:szCs w:val="32"/>
                      </w:rPr>
                      <w:t>Nordost e. V.</w:t>
                    </w:r>
                  </w:p>
                  <w:p w:rsidR="004C1F3F" w:rsidRDefault="004C1F3F"/>
                </w:txbxContent>
              </v:textbox>
            </v:shape>
          </w:pict>
        </mc:Fallback>
      </mc:AlternateContent>
    </w:r>
    <w:r>
      <w:rPr>
        <w:rFonts w:ascii="Broadway" w:hAnsi="Broadway"/>
        <w:b/>
        <w:noProof/>
        <w:color w:val="4F6228" w:themeColor="accent3" w:themeShade="80"/>
        <w:sz w:val="28"/>
        <w:szCs w:val="28"/>
      </w:rPr>
      <w:drawing>
        <wp:inline distT="0" distB="0" distL="0" distR="0" wp14:anchorId="0A769BCC" wp14:editId="03439D5B">
          <wp:extent cx="1182510" cy="128016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5334" cy="1283217"/>
                  </a:xfrm>
                  <a:prstGeom prst="rect">
                    <a:avLst/>
                  </a:prstGeom>
                  <a:noFill/>
                  <a:ln>
                    <a:noFill/>
                  </a:ln>
                </pic:spPr>
              </pic:pic>
            </a:graphicData>
          </a:graphic>
        </wp:inline>
      </w:drawing>
    </w:r>
    <w:r>
      <w:rPr>
        <w:noProof/>
      </w:rPr>
      <mc:AlternateContent>
        <mc:Choice Requires="wps">
          <w:drawing>
            <wp:anchor distT="0" distB="0" distL="114300" distR="114300" simplePos="0" relativeHeight="251661312" behindDoc="0" locked="0" layoutInCell="1" allowOverlap="1" wp14:anchorId="53F86108" wp14:editId="7AAF59DB">
              <wp:simplePos x="0" y="0"/>
              <wp:positionH relativeFrom="column">
                <wp:posOffset>-342265</wp:posOffset>
              </wp:positionH>
              <wp:positionV relativeFrom="paragraph">
                <wp:posOffset>-194945</wp:posOffset>
              </wp:positionV>
              <wp:extent cx="1470025" cy="126492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1470025" cy="126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F3F" w:rsidRDefault="004C1F3F">
                          <w:r w:rsidRPr="0070738F">
                            <w:rPr>
                              <w:noProof/>
                            </w:rPr>
                            <w:drawing>
                              <wp:inline distT="0" distB="0" distL="0" distR="0" wp14:anchorId="7249195F" wp14:editId="795F408D">
                                <wp:extent cx="1192378" cy="1186483"/>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_logo.gif"/>
                                        <pic:cNvPicPr/>
                                      </pic:nvPicPr>
                                      <pic:blipFill>
                                        <a:blip r:embed="rId2">
                                          <a:extLst>
                                            <a:ext uri="{28A0092B-C50C-407E-A947-70E740481C1C}">
                                              <a14:useLocalDpi xmlns:a14="http://schemas.microsoft.com/office/drawing/2010/main" val="0"/>
                                            </a:ext>
                                          </a:extLst>
                                        </a:blip>
                                        <a:stretch>
                                          <a:fillRect/>
                                        </a:stretch>
                                      </pic:blipFill>
                                      <pic:spPr>
                                        <a:xfrm>
                                          <a:off x="0" y="0"/>
                                          <a:ext cx="1205529" cy="11995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4" o:spid="_x0000_s1028" type="#_x0000_t202" style="position:absolute;left:0;text-align:left;margin-left:-26.95pt;margin-top:-15.35pt;width:115.75pt;height:9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" fillcolor="white [3201]" stroked="f" strokeweight=".5pt">
              <v:textbox>
                <w:txbxContent>
                  <w:p w:rsidR="004C1F3F" w:rsidRDefault="004C1F3F">
                    <w:r w:rsidRPr="0070738F">
                      <w:rPr>
                        <w:noProof/>
                      </w:rPr>
                      <w:drawing>
                        <wp:inline distT="0" distB="0" distL="0" distR="0" wp14:anchorId="7249195F" wp14:editId="795F408D">
                          <wp:extent cx="1192378" cy="1186483"/>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_logo.gif"/>
                                  <pic:cNvPicPr/>
                                </pic:nvPicPr>
                                <pic:blipFill>
                                  <a:blip r:embed="rId2">
                                    <a:extLst>
                                      <a:ext uri="{28A0092B-C50C-407E-A947-70E740481C1C}">
                                        <a14:useLocalDpi xmlns:a14="http://schemas.microsoft.com/office/drawing/2010/main" val="0"/>
                                      </a:ext>
                                    </a:extLst>
                                  </a:blip>
                                  <a:stretch>
                                    <a:fillRect/>
                                  </a:stretch>
                                </pic:blipFill>
                                <pic:spPr>
                                  <a:xfrm>
                                    <a:off x="0" y="0"/>
                                    <a:ext cx="1205529" cy="1199569"/>
                                  </a:xfrm>
                                  <a:prstGeom prst="rect">
                                    <a:avLst/>
                                  </a:prstGeom>
                                </pic:spPr>
                              </pic:pic>
                            </a:graphicData>
                          </a:graphic>
                        </wp:inline>
                      </w:drawing>
                    </w:r>
                  </w:p>
                </w:txbxContent>
              </v:textbox>
            </v:shape>
          </w:pict>
        </mc:Fallback>
      </mc:AlternateContent>
    </w:r>
  </w:p>
  <w:p w:rsidR="004C1F3F" w:rsidRDefault="004C1F3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D9D"/>
    <w:multiLevelType w:val="hybridMultilevel"/>
    <w:tmpl w:val="9E50E774"/>
    <w:lvl w:ilvl="0" w:tplc="41D6FFD2">
      <w:start w:val="3"/>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1B5BA4"/>
    <w:multiLevelType w:val="hybridMultilevel"/>
    <w:tmpl w:val="951029F6"/>
    <w:lvl w:ilvl="0" w:tplc="4818376C">
      <w:start w:val="6"/>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317791"/>
    <w:multiLevelType w:val="hybridMultilevel"/>
    <w:tmpl w:val="AB649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431A56"/>
    <w:multiLevelType w:val="hybridMultilevel"/>
    <w:tmpl w:val="5F86FE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89E46F1"/>
    <w:multiLevelType w:val="multilevel"/>
    <w:tmpl w:val="9E940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A3161A"/>
    <w:multiLevelType w:val="hybridMultilevel"/>
    <w:tmpl w:val="F416B354"/>
    <w:lvl w:ilvl="0" w:tplc="A5A8B720">
      <w:numFmt w:val="bullet"/>
      <w:lvlText w:val="-"/>
      <w:lvlJc w:val="left"/>
      <w:pPr>
        <w:ind w:left="720" w:hanging="360"/>
      </w:pPr>
      <w:rPr>
        <w:rFonts w:ascii="Verdana" w:eastAsia="Times New Roman" w:hAnsi="Verdana" w:cs="Century Gothic"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B48006D"/>
    <w:multiLevelType w:val="hybridMultilevel"/>
    <w:tmpl w:val="27961520"/>
    <w:lvl w:ilvl="0" w:tplc="D8AE4798">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C88735F"/>
    <w:multiLevelType w:val="hybridMultilevel"/>
    <w:tmpl w:val="98C2D08A"/>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0565426"/>
    <w:multiLevelType w:val="hybridMultilevel"/>
    <w:tmpl w:val="6A2229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2282C43"/>
    <w:multiLevelType w:val="hybridMultilevel"/>
    <w:tmpl w:val="5E8806C4"/>
    <w:lvl w:ilvl="0" w:tplc="A55432E2">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3DC087A"/>
    <w:multiLevelType w:val="hybridMultilevel"/>
    <w:tmpl w:val="32762D94"/>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AE15D25"/>
    <w:multiLevelType w:val="hybridMultilevel"/>
    <w:tmpl w:val="465A698C"/>
    <w:lvl w:ilvl="0" w:tplc="B7B66EDC">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BA8362D"/>
    <w:multiLevelType w:val="hybridMultilevel"/>
    <w:tmpl w:val="E13C6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BA95AB3"/>
    <w:multiLevelType w:val="hybridMultilevel"/>
    <w:tmpl w:val="29DC5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D86519E"/>
    <w:multiLevelType w:val="hybridMultilevel"/>
    <w:tmpl w:val="F7DC6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1656551"/>
    <w:multiLevelType w:val="hybridMultilevel"/>
    <w:tmpl w:val="43BE5A52"/>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2A554EA"/>
    <w:multiLevelType w:val="hybridMultilevel"/>
    <w:tmpl w:val="DB5C0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46619DA"/>
    <w:multiLevelType w:val="hybridMultilevel"/>
    <w:tmpl w:val="E4F414A0"/>
    <w:lvl w:ilvl="0" w:tplc="000ACE40">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66B0B67"/>
    <w:multiLevelType w:val="hybridMultilevel"/>
    <w:tmpl w:val="8716ED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8B73BE6"/>
    <w:multiLevelType w:val="hybridMultilevel"/>
    <w:tmpl w:val="FE827AA6"/>
    <w:lvl w:ilvl="0" w:tplc="B402673A">
      <w:start w:val="5"/>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A0E1A74"/>
    <w:multiLevelType w:val="hybridMultilevel"/>
    <w:tmpl w:val="11ECF0C6"/>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E5642FD"/>
    <w:multiLevelType w:val="hybridMultilevel"/>
    <w:tmpl w:val="618478A8"/>
    <w:lvl w:ilvl="0" w:tplc="4818376C">
      <w:start w:val="6"/>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7101645"/>
    <w:multiLevelType w:val="hybridMultilevel"/>
    <w:tmpl w:val="2146D0DA"/>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792174A"/>
    <w:multiLevelType w:val="hybridMultilevel"/>
    <w:tmpl w:val="67BE5240"/>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87B7BA1"/>
    <w:multiLevelType w:val="hybridMultilevel"/>
    <w:tmpl w:val="C2CED6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A3245C3"/>
    <w:multiLevelType w:val="hybridMultilevel"/>
    <w:tmpl w:val="0E4A68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C887E89"/>
    <w:multiLevelType w:val="hybridMultilevel"/>
    <w:tmpl w:val="4484CCDC"/>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58D7150"/>
    <w:multiLevelType w:val="hybridMultilevel"/>
    <w:tmpl w:val="C1021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60742DC"/>
    <w:multiLevelType w:val="multilevel"/>
    <w:tmpl w:val="8A44C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666787"/>
    <w:multiLevelType w:val="multilevel"/>
    <w:tmpl w:val="EA62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74274C2"/>
    <w:multiLevelType w:val="hybridMultilevel"/>
    <w:tmpl w:val="21DA2634"/>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AA67C67"/>
    <w:multiLevelType w:val="hybridMultilevel"/>
    <w:tmpl w:val="CB425F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0A75051"/>
    <w:multiLevelType w:val="hybridMultilevel"/>
    <w:tmpl w:val="FB7A41E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nsid w:val="51737369"/>
    <w:multiLevelType w:val="hybridMultilevel"/>
    <w:tmpl w:val="24DC7AFE"/>
    <w:lvl w:ilvl="0" w:tplc="25EC3CFE">
      <w:start w:val="17"/>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5FC6CB5"/>
    <w:multiLevelType w:val="hybridMultilevel"/>
    <w:tmpl w:val="95CE7ED6"/>
    <w:lvl w:ilvl="0" w:tplc="0D98C030">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FDD6729"/>
    <w:multiLevelType w:val="hybridMultilevel"/>
    <w:tmpl w:val="BBEE1136"/>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0C065DC"/>
    <w:multiLevelType w:val="hybridMultilevel"/>
    <w:tmpl w:val="9EB2A136"/>
    <w:lvl w:ilvl="0" w:tplc="BE900BA8">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57212BC"/>
    <w:multiLevelType w:val="hybridMultilevel"/>
    <w:tmpl w:val="DBA4BB3C"/>
    <w:lvl w:ilvl="0" w:tplc="FF68D34E">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nsid w:val="66F35502"/>
    <w:multiLevelType w:val="hybridMultilevel"/>
    <w:tmpl w:val="13FCF840"/>
    <w:lvl w:ilvl="0" w:tplc="CEB8DF38">
      <w:start w:val="7"/>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C1D5372"/>
    <w:multiLevelType w:val="hybridMultilevel"/>
    <w:tmpl w:val="ED962508"/>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E9E60D9"/>
    <w:multiLevelType w:val="hybridMultilevel"/>
    <w:tmpl w:val="9768E398"/>
    <w:lvl w:ilvl="0" w:tplc="A55432E2">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F9E5E34"/>
    <w:multiLevelType w:val="hybridMultilevel"/>
    <w:tmpl w:val="78C8321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2">
    <w:nsid w:val="726B503F"/>
    <w:multiLevelType w:val="hybridMultilevel"/>
    <w:tmpl w:val="FFC4B9BA"/>
    <w:lvl w:ilvl="0" w:tplc="CB8C30E4">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2FE39DF"/>
    <w:multiLevelType w:val="hybridMultilevel"/>
    <w:tmpl w:val="2850E53A"/>
    <w:lvl w:ilvl="0" w:tplc="000ACE40">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639359A"/>
    <w:multiLevelType w:val="hybridMultilevel"/>
    <w:tmpl w:val="2584C35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6531A51"/>
    <w:multiLevelType w:val="hybridMultilevel"/>
    <w:tmpl w:val="B0240910"/>
    <w:lvl w:ilvl="0" w:tplc="B402673A">
      <w:start w:val="5"/>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78743CA"/>
    <w:multiLevelType w:val="hybridMultilevel"/>
    <w:tmpl w:val="D5500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D101500"/>
    <w:multiLevelType w:val="hybridMultilevel"/>
    <w:tmpl w:val="BF64F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DBF6556"/>
    <w:multiLevelType w:val="hybridMultilevel"/>
    <w:tmpl w:val="0E90FB06"/>
    <w:lvl w:ilvl="0" w:tplc="AA9E1146">
      <w:start w:val="1"/>
      <w:numFmt w:val="decimalZero"/>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7"/>
  </w:num>
  <w:num w:numId="2">
    <w:abstractNumId w:val="2"/>
  </w:num>
  <w:num w:numId="3">
    <w:abstractNumId w:val="27"/>
  </w:num>
  <w:num w:numId="4">
    <w:abstractNumId w:val="38"/>
  </w:num>
  <w:num w:numId="5">
    <w:abstractNumId w:val="46"/>
  </w:num>
  <w:num w:numId="6">
    <w:abstractNumId w:val="13"/>
  </w:num>
  <w:num w:numId="7">
    <w:abstractNumId w:val="33"/>
  </w:num>
  <w:num w:numId="8">
    <w:abstractNumId w:val="17"/>
  </w:num>
  <w:num w:numId="9">
    <w:abstractNumId w:val="43"/>
  </w:num>
  <w:num w:numId="10">
    <w:abstractNumId w:val="42"/>
  </w:num>
  <w:num w:numId="11">
    <w:abstractNumId w:val="41"/>
  </w:num>
  <w:num w:numId="12">
    <w:abstractNumId w:val="6"/>
  </w:num>
  <w:num w:numId="13">
    <w:abstractNumId w:val="10"/>
  </w:num>
  <w:num w:numId="14">
    <w:abstractNumId w:val="30"/>
  </w:num>
  <w:num w:numId="15">
    <w:abstractNumId w:val="3"/>
  </w:num>
  <w:num w:numId="16">
    <w:abstractNumId w:val="4"/>
  </w:num>
  <w:num w:numId="17">
    <w:abstractNumId w:val="29"/>
  </w:num>
  <w:num w:numId="18">
    <w:abstractNumId w:val="7"/>
  </w:num>
  <w:num w:numId="19">
    <w:abstractNumId w:val="22"/>
  </w:num>
  <w:num w:numId="20">
    <w:abstractNumId w:val="15"/>
  </w:num>
  <w:num w:numId="21">
    <w:abstractNumId w:val="20"/>
  </w:num>
  <w:num w:numId="22">
    <w:abstractNumId w:val="23"/>
  </w:num>
  <w:num w:numId="23">
    <w:abstractNumId w:val="39"/>
  </w:num>
  <w:num w:numId="24">
    <w:abstractNumId w:val="35"/>
  </w:num>
  <w:num w:numId="25">
    <w:abstractNumId w:val="26"/>
  </w:num>
  <w:num w:numId="26">
    <w:abstractNumId w:val="36"/>
  </w:num>
  <w:num w:numId="27">
    <w:abstractNumId w:val="18"/>
  </w:num>
  <w:num w:numId="28">
    <w:abstractNumId w:val="48"/>
  </w:num>
  <w:num w:numId="29">
    <w:abstractNumId w:val="11"/>
  </w:num>
  <w:num w:numId="30">
    <w:abstractNumId w:val="40"/>
  </w:num>
  <w:num w:numId="31">
    <w:abstractNumId w:val="9"/>
  </w:num>
  <w:num w:numId="32">
    <w:abstractNumId w:val="14"/>
  </w:num>
  <w:num w:numId="33">
    <w:abstractNumId w:val="34"/>
  </w:num>
  <w:num w:numId="34">
    <w:abstractNumId w:val="32"/>
  </w:num>
  <w:num w:numId="35">
    <w:abstractNumId w:val="24"/>
  </w:num>
  <w:num w:numId="36">
    <w:abstractNumId w:val="0"/>
  </w:num>
  <w:num w:numId="37">
    <w:abstractNumId w:val="1"/>
  </w:num>
  <w:num w:numId="38">
    <w:abstractNumId w:val="21"/>
  </w:num>
  <w:num w:numId="39">
    <w:abstractNumId w:val="12"/>
  </w:num>
  <w:num w:numId="40">
    <w:abstractNumId w:val="31"/>
  </w:num>
  <w:num w:numId="41">
    <w:abstractNumId w:val="45"/>
  </w:num>
  <w:num w:numId="42">
    <w:abstractNumId w:val="19"/>
  </w:num>
  <w:num w:numId="43">
    <w:abstractNumId w:val="28"/>
  </w:num>
  <w:num w:numId="44">
    <w:abstractNumId w:val="25"/>
  </w:num>
  <w:num w:numId="45">
    <w:abstractNumId w:val="16"/>
  </w:num>
  <w:num w:numId="46">
    <w:abstractNumId w:val="8"/>
  </w:num>
  <w:num w:numId="47">
    <w:abstractNumId w:val="5"/>
  </w:num>
  <w:num w:numId="48">
    <w:abstractNumId w:val="37"/>
    <w:lvlOverride w:ilvl="0"/>
    <w:lvlOverride w:ilvl="1"/>
    <w:lvlOverride w:ilvl="2"/>
    <w:lvlOverride w:ilvl="3"/>
    <w:lvlOverride w:ilvl="4"/>
    <w:lvlOverride w:ilvl="5"/>
    <w:lvlOverride w:ilvl="6"/>
    <w:lvlOverride w:ilvl="7"/>
    <w:lvlOverride w:ilvl="8"/>
  </w:num>
  <w:num w:numId="49">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de-DE"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BD"/>
    <w:rsid w:val="00000004"/>
    <w:rsid w:val="00004AF0"/>
    <w:rsid w:val="00005CC4"/>
    <w:rsid w:val="00005DFA"/>
    <w:rsid w:val="00006002"/>
    <w:rsid w:val="00007480"/>
    <w:rsid w:val="00007AE3"/>
    <w:rsid w:val="00010BE7"/>
    <w:rsid w:val="00010EC2"/>
    <w:rsid w:val="00011A15"/>
    <w:rsid w:val="00012DD5"/>
    <w:rsid w:val="0001375E"/>
    <w:rsid w:val="00013971"/>
    <w:rsid w:val="00015011"/>
    <w:rsid w:val="000157AF"/>
    <w:rsid w:val="000208C9"/>
    <w:rsid w:val="00020DBF"/>
    <w:rsid w:val="0002451E"/>
    <w:rsid w:val="000268A3"/>
    <w:rsid w:val="00030B50"/>
    <w:rsid w:val="000324DF"/>
    <w:rsid w:val="00033576"/>
    <w:rsid w:val="000341AE"/>
    <w:rsid w:val="00040674"/>
    <w:rsid w:val="00040692"/>
    <w:rsid w:val="00041838"/>
    <w:rsid w:val="000442E5"/>
    <w:rsid w:val="00044E22"/>
    <w:rsid w:val="0004793A"/>
    <w:rsid w:val="000506B6"/>
    <w:rsid w:val="000526A6"/>
    <w:rsid w:val="00052A71"/>
    <w:rsid w:val="000533B0"/>
    <w:rsid w:val="00053C42"/>
    <w:rsid w:val="00055ED7"/>
    <w:rsid w:val="00056E1D"/>
    <w:rsid w:val="000613BD"/>
    <w:rsid w:val="00062A56"/>
    <w:rsid w:val="000631B4"/>
    <w:rsid w:val="00063BF6"/>
    <w:rsid w:val="00065B2C"/>
    <w:rsid w:val="000702DA"/>
    <w:rsid w:val="00072113"/>
    <w:rsid w:val="000731F5"/>
    <w:rsid w:val="000748B4"/>
    <w:rsid w:val="00076528"/>
    <w:rsid w:val="000765E2"/>
    <w:rsid w:val="00076E5C"/>
    <w:rsid w:val="00081BD8"/>
    <w:rsid w:val="00081E86"/>
    <w:rsid w:val="00083364"/>
    <w:rsid w:val="000857B2"/>
    <w:rsid w:val="00086091"/>
    <w:rsid w:val="000861A8"/>
    <w:rsid w:val="00087F57"/>
    <w:rsid w:val="0009007B"/>
    <w:rsid w:val="0009061A"/>
    <w:rsid w:val="00091027"/>
    <w:rsid w:val="000912CE"/>
    <w:rsid w:val="00091870"/>
    <w:rsid w:val="0009193B"/>
    <w:rsid w:val="000934FB"/>
    <w:rsid w:val="000954E1"/>
    <w:rsid w:val="000A4428"/>
    <w:rsid w:val="000A4F69"/>
    <w:rsid w:val="000A5261"/>
    <w:rsid w:val="000A59FC"/>
    <w:rsid w:val="000A5A4D"/>
    <w:rsid w:val="000A7047"/>
    <w:rsid w:val="000A7CB8"/>
    <w:rsid w:val="000A7CCB"/>
    <w:rsid w:val="000B18BA"/>
    <w:rsid w:val="000B4F0B"/>
    <w:rsid w:val="000B6E23"/>
    <w:rsid w:val="000B7C49"/>
    <w:rsid w:val="000B7CC7"/>
    <w:rsid w:val="000B7D69"/>
    <w:rsid w:val="000C2787"/>
    <w:rsid w:val="000C3FEE"/>
    <w:rsid w:val="000C5F7D"/>
    <w:rsid w:val="000C6FB1"/>
    <w:rsid w:val="000C70D4"/>
    <w:rsid w:val="000C766E"/>
    <w:rsid w:val="000C779F"/>
    <w:rsid w:val="000D26EB"/>
    <w:rsid w:val="000D2A2B"/>
    <w:rsid w:val="000D367C"/>
    <w:rsid w:val="000D4CA8"/>
    <w:rsid w:val="000D524E"/>
    <w:rsid w:val="000D563A"/>
    <w:rsid w:val="000D7335"/>
    <w:rsid w:val="000E04AD"/>
    <w:rsid w:val="000E19B0"/>
    <w:rsid w:val="000E21D9"/>
    <w:rsid w:val="000E249B"/>
    <w:rsid w:val="000E406D"/>
    <w:rsid w:val="000E4249"/>
    <w:rsid w:val="000E4C16"/>
    <w:rsid w:val="000E4C9C"/>
    <w:rsid w:val="000E7209"/>
    <w:rsid w:val="000E7C48"/>
    <w:rsid w:val="000F02A3"/>
    <w:rsid w:val="000F059C"/>
    <w:rsid w:val="000F1F56"/>
    <w:rsid w:val="000F39C2"/>
    <w:rsid w:val="000F535A"/>
    <w:rsid w:val="000F6517"/>
    <w:rsid w:val="000F7F6E"/>
    <w:rsid w:val="001006FE"/>
    <w:rsid w:val="00100D4F"/>
    <w:rsid w:val="001017E9"/>
    <w:rsid w:val="00103155"/>
    <w:rsid w:val="0010340E"/>
    <w:rsid w:val="0010431C"/>
    <w:rsid w:val="0010568E"/>
    <w:rsid w:val="00105927"/>
    <w:rsid w:val="00106DAA"/>
    <w:rsid w:val="001101D9"/>
    <w:rsid w:val="001114FA"/>
    <w:rsid w:val="00113CD2"/>
    <w:rsid w:val="00114346"/>
    <w:rsid w:val="00115AA9"/>
    <w:rsid w:val="00116DBC"/>
    <w:rsid w:val="001171EA"/>
    <w:rsid w:val="001209BA"/>
    <w:rsid w:val="00122099"/>
    <w:rsid w:val="00123E6D"/>
    <w:rsid w:val="00124DDD"/>
    <w:rsid w:val="00126551"/>
    <w:rsid w:val="00130ABF"/>
    <w:rsid w:val="001317D8"/>
    <w:rsid w:val="001320B5"/>
    <w:rsid w:val="0013252A"/>
    <w:rsid w:val="001344F4"/>
    <w:rsid w:val="00134510"/>
    <w:rsid w:val="0013483E"/>
    <w:rsid w:val="00136F25"/>
    <w:rsid w:val="001370AE"/>
    <w:rsid w:val="00137E70"/>
    <w:rsid w:val="001405A1"/>
    <w:rsid w:val="00141F9A"/>
    <w:rsid w:val="00147F03"/>
    <w:rsid w:val="0015096C"/>
    <w:rsid w:val="001523C4"/>
    <w:rsid w:val="00153B01"/>
    <w:rsid w:val="00157492"/>
    <w:rsid w:val="0016043E"/>
    <w:rsid w:val="00161313"/>
    <w:rsid w:val="00161992"/>
    <w:rsid w:val="00165B82"/>
    <w:rsid w:val="00166561"/>
    <w:rsid w:val="00166C8D"/>
    <w:rsid w:val="0016718E"/>
    <w:rsid w:val="001671E0"/>
    <w:rsid w:val="001673ED"/>
    <w:rsid w:val="001677A0"/>
    <w:rsid w:val="00172365"/>
    <w:rsid w:val="0017271A"/>
    <w:rsid w:val="00172E00"/>
    <w:rsid w:val="001736BF"/>
    <w:rsid w:val="00173AFA"/>
    <w:rsid w:val="00174563"/>
    <w:rsid w:val="00174BCD"/>
    <w:rsid w:val="001756B6"/>
    <w:rsid w:val="001760CD"/>
    <w:rsid w:val="001805CC"/>
    <w:rsid w:val="0018091B"/>
    <w:rsid w:val="00182A80"/>
    <w:rsid w:val="00184E4E"/>
    <w:rsid w:val="001855AD"/>
    <w:rsid w:val="00185B72"/>
    <w:rsid w:val="00185E22"/>
    <w:rsid w:val="001871B1"/>
    <w:rsid w:val="001875F3"/>
    <w:rsid w:val="00191241"/>
    <w:rsid w:val="0019350E"/>
    <w:rsid w:val="00196FFF"/>
    <w:rsid w:val="0019739A"/>
    <w:rsid w:val="001974A8"/>
    <w:rsid w:val="00197923"/>
    <w:rsid w:val="001A1344"/>
    <w:rsid w:val="001A229F"/>
    <w:rsid w:val="001A2473"/>
    <w:rsid w:val="001B18CC"/>
    <w:rsid w:val="001B30FA"/>
    <w:rsid w:val="001B3943"/>
    <w:rsid w:val="001B39FE"/>
    <w:rsid w:val="001B3EC8"/>
    <w:rsid w:val="001B44E8"/>
    <w:rsid w:val="001B7C7D"/>
    <w:rsid w:val="001C1F6F"/>
    <w:rsid w:val="001C30DB"/>
    <w:rsid w:val="001C4A10"/>
    <w:rsid w:val="001C4AC2"/>
    <w:rsid w:val="001C58B7"/>
    <w:rsid w:val="001C5DEB"/>
    <w:rsid w:val="001C7768"/>
    <w:rsid w:val="001D0008"/>
    <w:rsid w:val="001D056D"/>
    <w:rsid w:val="001D157F"/>
    <w:rsid w:val="001D2E6E"/>
    <w:rsid w:val="001D30A3"/>
    <w:rsid w:val="001D3871"/>
    <w:rsid w:val="001D43DE"/>
    <w:rsid w:val="001D4D31"/>
    <w:rsid w:val="001D7B09"/>
    <w:rsid w:val="001E0E56"/>
    <w:rsid w:val="001E16C3"/>
    <w:rsid w:val="001E3EF7"/>
    <w:rsid w:val="001E3FDF"/>
    <w:rsid w:val="001E4BE9"/>
    <w:rsid w:val="001E4CEC"/>
    <w:rsid w:val="001E57E0"/>
    <w:rsid w:val="001E59CE"/>
    <w:rsid w:val="001E7435"/>
    <w:rsid w:val="001F0A61"/>
    <w:rsid w:val="001F2394"/>
    <w:rsid w:val="001F254D"/>
    <w:rsid w:val="001F3B6C"/>
    <w:rsid w:val="001F47BD"/>
    <w:rsid w:val="001F4EE9"/>
    <w:rsid w:val="00201097"/>
    <w:rsid w:val="00201734"/>
    <w:rsid w:val="00201C84"/>
    <w:rsid w:val="00205801"/>
    <w:rsid w:val="00205F13"/>
    <w:rsid w:val="00206D21"/>
    <w:rsid w:val="00207114"/>
    <w:rsid w:val="0020744E"/>
    <w:rsid w:val="00210E74"/>
    <w:rsid w:val="0021115B"/>
    <w:rsid w:val="00212DC1"/>
    <w:rsid w:val="002141C8"/>
    <w:rsid w:val="0021566C"/>
    <w:rsid w:val="00217521"/>
    <w:rsid w:val="00221569"/>
    <w:rsid w:val="00222396"/>
    <w:rsid w:val="00222A30"/>
    <w:rsid w:val="00224839"/>
    <w:rsid w:val="002252BC"/>
    <w:rsid w:val="00226A78"/>
    <w:rsid w:val="0023024F"/>
    <w:rsid w:val="00230CD7"/>
    <w:rsid w:val="00230E32"/>
    <w:rsid w:val="002319AA"/>
    <w:rsid w:val="00231A61"/>
    <w:rsid w:val="00232596"/>
    <w:rsid w:val="00234A6D"/>
    <w:rsid w:val="00236925"/>
    <w:rsid w:val="002373D3"/>
    <w:rsid w:val="0023740D"/>
    <w:rsid w:val="002416B5"/>
    <w:rsid w:val="002441A5"/>
    <w:rsid w:val="00246F23"/>
    <w:rsid w:val="00250E38"/>
    <w:rsid w:val="00252CE8"/>
    <w:rsid w:val="00253F81"/>
    <w:rsid w:val="00255763"/>
    <w:rsid w:val="00257C24"/>
    <w:rsid w:val="00257F81"/>
    <w:rsid w:val="0026043A"/>
    <w:rsid w:val="002606AD"/>
    <w:rsid w:val="0026078E"/>
    <w:rsid w:val="00260828"/>
    <w:rsid w:val="0026368B"/>
    <w:rsid w:val="00264E82"/>
    <w:rsid w:val="002717F2"/>
    <w:rsid w:val="00271A5B"/>
    <w:rsid w:val="002734D0"/>
    <w:rsid w:val="00273B53"/>
    <w:rsid w:val="002756AD"/>
    <w:rsid w:val="0027721E"/>
    <w:rsid w:val="0027738A"/>
    <w:rsid w:val="002828C2"/>
    <w:rsid w:val="00285919"/>
    <w:rsid w:val="0028690F"/>
    <w:rsid w:val="00286EE5"/>
    <w:rsid w:val="00287484"/>
    <w:rsid w:val="00287AE5"/>
    <w:rsid w:val="00290821"/>
    <w:rsid w:val="00291342"/>
    <w:rsid w:val="002914ED"/>
    <w:rsid w:val="00293D0F"/>
    <w:rsid w:val="00294BF1"/>
    <w:rsid w:val="00296356"/>
    <w:rsid w:val="002A0E4F"/>
    <w:rsid w:val="002A15B9"/>
    <w:rsid w:val="002A377B"/>
    <w:rsid w:val="002A3B11"/>
    <w:rsid w:val="002A5E47"/>
    <w:rsid w:val="002A630D"/>
    <w:rsid w:val="002B02C0"/>
    <w:rsid w:val="002B1115"/>
    <w:rsid w:val="002B508F"/>
    <w:rsid w:val="002C45F1"/>
    <w:rsid w:val="002C7747"/>
    <w:rsid w:val="002D0085"/>
    <w:rsid w:val="002D31E5"/>
    <w:rsid w:val="002D54FD"/>
    <w:rsid w:val="002E1AFF"/>
    <w:rsid w:val="002E34A6"/>
    <w:rsid w:val="002E372E"/>
    <w:rsid w:val="002E381D"/>
    <w:rsid w:val="002E44B4"/>
    <w:rsid w:val="002E52A9"/>
    <w:rsid w:val="002E6C83"/>
    <w:rsid w:val="002F50A9"/>
    <w:rsid w:val="00304043"/>
    <w:rsid w:val="003072D1"/>
    <w:rsid w:val="003078F4"/>
    <w:rsid w:val="00310205"/>
    <w:rsid w:val="0031159E"/>
    <w:rsid w:val="00312D6B"/>
    <w:rsid w:val="00314191"/>
    <w:rsid w:val="0031459B"/>
    <w:rsid w:val="00317A53"/>
    <w:rsid w:val="00321263"/>
    <w:rsid w:val="00323681"/>
    <w:rsid w:val="0032512A"/>
    <w:rsid w:val="00325A59"/>
    <w:rsid w:val="003305A6"/>
    <w:rsid w:val="003308BC"/>
    <w:rsid w:val="0033169F"/>
    <w:rsid w:val="003323BB"/>
    <w:rsid w:val="0033278F"/>
    <w:rsid w:val="0033300E"/>
    <w:rsid w:val="0033383A"/>
    <w:rsid w:val="00333EBF"/>
    <w:rsid w:val="00335375"/>
    <w:rsid w:val="00335C04"/>
    <w:rsid w:val="003368FD"/>
    <w:rsid w:val="003407C7"/>
    <w:rsid w:val="003441BE"/>
    <w:rsid w:val="00344261"/>
    <w:rsid w:val="0034533A"/>
    <w:rsid w:val="00345D93"/>
    <w:rsid w:val="00346776"/>
    <w:rsid w:val="00347369"/>
    <w:rsid w:val="0035289A"/>
    <w:rsid w:val="00353087"/>
    <w:rsid w:val="003532D5"/>
    <w:rsid w:val="003540BA"/>
    <w:rsid w:val="00354FA9"/>
    <w:rsid w:val="00355665"/>
    <w:rsid w:val="00357105"/>
    <w:rsid w:val="00360462"/>
    <w:rsid w:val="003605E5"/>
    <w:rsid w:val="00360B5C"/>
    <w:rsid w:val="00362BD4"/>
    <w:rsid w:val="00362FF5"/>
    <w:rsid w:val="0036307E"/>
    <w:rsid w:val="0036367F"/>
    <w:rsid w:val="003671DE"/>
    <w:rsid w:val="003672DE"/>
    <w:rsid w:val="00367717"/>
    <w:rsid w:val="00367F08"/>
    <w:rsid w:val="00372337"/>
    <w:rsid w:val="0037309A"/>
    <w:rsid w:val="00382231"/>
    <w:rsid w:val="00382842"/>
    <w:rsid w:val="00383320"/>
    <w:rsid w:val="00385F72"/>
    <w:rsid w:val="00386EBF"/>
    <w:rsid w:val="003874D4"/>
    <w:rsid w:val="0039072F"/>
    <w:rsid w:val="003917E4"/>
    <w:rsid w:val="00392741"/>
    <w:rsid w:val="00392E13"/>
    <w:rsid w:val="0039529A"/>
    <w:rsid w:val="00395DC0"/>
    <w:rsid w:val="00396B14"/>
    <w:rsid w:val="003A0E81"/>
    <w:rsid w:val="003A199F"/>
    <w:rsid w:val="003A2D12"/>
    <w:rsid w:val="003A60E3"/>
    <w:rsid w:val="003B0F80"/>
    <w:rsid w:val="003B1DD7"/>
    <w:rsid w:val="003B306E"/>
    <w:rsid w:val="003B3232"/>
    <w:rsid w:val="003B6BA0"/>
    <w:rsid w:val="003B7207"/>
    <w:rsid w:val="003C1C94"/>
    <w:rsid w:val="003C2425"/>
    <w:rsid w:val="003C29BB"/>
    <w:rsid w:val="003C2C22"/>
    <w:rsid w:val="003C44D5"/>
    <w:rsid w:val="003C7145"/>
    <w:rsid w:val="003C7388"/>
    <w:rsid w:val="003C738B"/>
    <w:rsid w:val="003D0151"/>
    <w:rsid w:val="003D0C95"/>
    <w:rsid w:val="003D19CA"/>
    <w:rsid w:val="003D2DF1"/>
    <w:rsid w:val="003D2F04"/>
    <w:rsid w:val="003D324A"/>
    <w:rsid w:val="003D51BB"/>
    <w:rsid w:val="003D5317"/>
    <w:rsid w:val="003D54A6"/>
    <w:rsid w:val="003E1A1B"/>
    <w:rsid w:val="003E2CF2"/>
    <w:rsid w:val="003E4826"/>
    <w:rsid w:val="003E50B2"/>
    <w:rsid w:val="003E7663"/>
    <w:rsid w:val="003F27FE"/>
    <w:rsid w:val="003F4008"/>
    <w:rsid w:val="003F41AC"/>
    <w:rsid w:val="003F4C16"/>
    <w:rsid w:val="003F4FBB"/>
    <w:rsid w:val="003F5122"/>
    <w:rsid w:val="003F5C1E"/>
    <w:rsid w:val="00400066"/>
    <w:rsid w:val="004004AB"/>
    <w:rsid w:val="00400A93"/>
    <w:rsid w:val="00400EA1"/>
    <w:rsid w:val="00401226"/>
    <w:rsid w:val="00401D8D"/>
    <w:rsid w:val="00402BFD"/>
    <w:rsid w:val="004048D5"/>
    <w:rsid w:val="00405DA4"/>
    <w:rsid w:val="00407654"/>
    <w:rsid w:val="00410347"/>
    <w:rsid w:val="0041084B"/>
    <w:rsid w:val="004137E0"/>
    <w:rsid w:val="004160EF"/>
    <w:rsid w:val="0041663F"/>
    <w:rsid w:val="00416C5A"/>
    <w:rsid w:val="004208C6"/>
    <w:rsid w:val="00421B06"/>
    <w:rsid w:val="00426676"/>
    <w:rsid w:val="00430D2A"/>
    <w:rsid w:val="0043241D"/>
    <w:rsid w:val="00432806"/>
    <w:rsid w:val="0043349F"/>
    <w:rsid w:val="00433885"/>
    <w:rsid w:val="00435878"/>
    <w:rsid w:val="00435995"/>
    <w:rsid w:val="00436483"/>
    <w:rsid w:val="00441A97"/>
    <w:rsid w:val="0044665C"/>
    <w:rsid w:val="0044729A"/>
    <w:rsid w:val="0045001C"/>
    <w:rsid w:val="00452EDC"/>
    <w:rsid w:val="00453576"/>
    <w:rsid w:val="00453CDD"/>
    <w:rsid w:val="00453EFF"/>
    <w:rsid w:val="00456BF1"/>
    <w:rsid w:val="004576F6"/>
    <w:rsid w:val="00462256"/>
    <w:rsid w:val="00462F96"/>
    <w:rsid w:val="004639D2"/>
    <w:rsid w:val="004665E0"/>
    <w:rsid w:val="004702CD"/>
    <w:rsid w:val="00471B35"/>
    <w:rsid w:val="00474B31"/>
    <w:rsid w:val="00476E54"/>
    <w:rsid w:val="0047773D"/>
    <w:rsid w:val="004818FA"/>
    <w:rsid w:val="00481AAC"/>
    <w:rsid w:val="00482449"/>
    <w:rsid w:val="004836F3"/>
    <w:rsid w:val="00483CD5"/>
    <w:rsid w:val="0048475F"/>
    <w:rsid w:val="00486A32"/>
    <w:rsid w:val="00486D12"/>
    <w:rsid w:val="00492226"/>
    <w:rsid w:val="00492613"/>
    <w:rsid w:val="0049353C"/>
    <w:rsid w:val="0049537C"/>
    <w:rsid w:val="0049630F"/>
    <w:rsid w:val="004965BD"/>
    <w:rsid w:val="00496711"/>
    <w:rsid w:val="004970B3"/>
    <w:rsid w:val="004A17E7"/>
    <w:rsid w:val="004A30B4"/>
    <w:rsid w:val="004A45B7"/>
    <w:rsid w:val="004B0270"/>
    <w:rsid w:val="004B0B59"/>
    <w:rsid w:val="004B2F77"/>
    <w:rsid w:val="004B3B6F"/>
    <w:rsid w:val="004B4286"/>
    <w:rsid w:val="004B4A2E"/>
    <w:rsid w:val="004B4E3B"/>
    <w:rsid w:val="004B5B33"/>
    <w:rsid w:val="004C1108"/>
    <w:rsid w:val="004C18DA"/>
    <w:rsid w:val="004C1DFD"/>
    <w:rsid w:val="004C1E89"/>
    <w:rsid w:val="004C1F3F"/>
    <w:rsid w:val="004C3038"/>
    <w:rsid w:val="004C4C5C"/>
    <w:rsid w:val="004C51F6"/>
    <w:rsid w:val="004C5B57"/>
    <w:rsid w:val="004C6F83"/>
    <w:rsid w:val="004D14E5"/>
    <w:rsid w:val="004D1E4E"/>
    <w:rsid w:val="004D56F6"/>
    <w:rsid w:val="004D5930"/>
    <w:rsid w:val="004D593B"/>
    <w:rsid w:val="004E0F85"/>
    <w:rsid w:val="004E1720"/>
    <w:rsid w:val="004E2A94"/>
    <w:rsid w:val="004E33E2"/>
    <w:rsid w:val="004E48F6"/>
    <w:rsid w:val="004E4BD8"/>
    <w:rsid w:val="004E6EDF"/>
    <w:rsid w:val="004F1D4E"/>
    <w:rsid w:val="004F3D0E"/>
    <w:rsid w:val="004F4683"/>
    <w:rsid w:val="004F486B"/>
    <w:rsid w:val="004F544E"/>
    <w:rsid w:val="005020CC"/>
    <w:rsid w:val="005047EB"/>
    <w:rsid w:val="005047EF"/>
    <w:rsid w:val="00507E83"/>
    <w:rsid w:val="00510644"/>
    <w:rsid w:val="00511F8A"/>
    <w:rsid w:val="005123DE"/>
    <w:rsid w:val="005154C0"/>
    <w:rsid w:val="005212A6"/>
    <w:rsid w:val="005215C9"/>
    <w:rsid w:val="00521BDF"/>
    <w:rsid w:val="005229AA"/>
    <w:rsid w:val="005232A3"/>
    <w:rsid w:val="005232DF"/>
    <w:rsid w:val="00523672"/>
    <w:rsid w:val="00524BAD"/>
    <w:rsid w:val="00524CCF"/>
    <w:rsid w:val="00524F26"/>
    <w:rsid w:val="00525078"/>
    <w:rsid w:val="0052615A"/>
    <w:rsid w:val="00527CFC"/>
    <w:rsid w:val="00527F4E"/>
    <w:rsid w:val="00530444"/>
    <w:rsid w:val="00530A23"/>
    <w:rsid w:val="00530F7A"/>
    <w:rsid w:val="00533E87"/>
    <w:rsid w:val="00534F93"/>
    <w:rsid w:val="00535652"/>
    <w:rsid w:val="00536F3F"/>
    <w:rsid w:val="0053768C"/>
    <w:rsid w:val="00537B1A"/>
    <w:rsid w:val="0054247F"/>
    <w:rsid w:val="00545806"/>
    <w:rsid w:val="0054595A"/>
    <w:rsid w:val="00550255"/>
    <w:rsid w:val="00550644"/>
    <w:rsid w:val="005516FC"/>
    <w:rsid w:val="00551A4D"/>
    <w:rsid w:val="00551A89"/>
    <w:rsid w:val="00552B99"/>
    <w:rsid w:val="005537AA"/>
    <w:rsid w:val="00557377"/>
    <w:rsid w:val="0055752E"/>
    <w:rsid w:val="00557BCD"/>
    <w:rsid w:val="00557D71"/>
    <w:rsid w:val="005633E4"/>
    <w:rsid w:val="0056410D"/>
    <w:rsid w:val="00567123"/>
    <w:rsid w:val="00573E5C"/>
    <w:rsid w:val="005742B0"/>
    <w:rsid w:val="005774DD"/>
    <w:rsid w:val="005805C9"/>
    <w:rsid w:val="005814FC"/>
    <w:rsid w:val="00586683"/>
    <w:rsid w:val="00586BDA"/>
    <w:rsid w:val="005872CF"/>
    <w:rsid w:val="00587EA2"/>
    <w:rsid w:val="0059477B"/>
    <w:rsid w:val="00594F72"/>
    <w:rsid w:val="00595ADC"/>
    <w:rsid w:val="00597C5E"/>
    <w:rsid w:val="005A0843"/>
    <w:rsid w:val="005A0C97"/>
    <w:rsid w:val="005A16C0"/>
    <w:rsid w:val="005A1A22"/>
    <w:rsid w:val="005A2679"/>
    <w:rsid w:val="005A2946"/>
    <w:rsid w:val="005A2AD2"/>
    <w:rsid w:val="005A30BA"/>
    <w:rsid w:val="005A3574"/>
    <w:rsid w:val="005A3C42"/>
    <w:rsid w:val="005A481F"/>
    <w:rsid w:val="005A5DE7"/>
    <w:rsid w:val="005A685F"/>
    <w:rsid w:val="005A688D"/>
    <w:rsid w:val="005B19D4"/>
    <w:rsid w:val="005B2F8F"/>
    <w:rsid w:val="005B30FE"/>
    <w:rsid w:val="005B3D13"/>
    <w:rsid w:val="005B4A03"/>
    <w:rsid w:val="005B6CAC"/>
    <w:rsid w:val="005B6FB3"/>
    <w:rsid w:val="005B7610"/>
    <w:rsid w:val="005C0694"/>
    <w:rsid w:val="005C4C09"/>
    <w:rsid w:val="005D0B19"/>
    <w:rsid w:val="005D0B91"/>
    <w:rsid w:val="005D23FC"/>
    <w:rsid w:val="005D34C7"/>
    <w:rsid w:val="005D4B6D"/>
    <w:rsid w:val="005D5814"/>
    <w:rsid w:val="005D5AFE"/>
    <w:rsid w:val="005D60B9"/>
    <w:rsid w:val="005D7066"/>
    <w:rsid w:val="005E2003"/>
    <w:rsid w:val="005E202B"/>
    <w:rsid w:val="005E4B52"/>
    <w:rsid w:val="005E5CC2"/>
    <w:rsid w:val="005E68B0"/>
    <w:rsid w:val="005F24B5"/>
    <w:rsid w:val="005F4156"/>
    <w:rsid w:val="005F5BA7"/>
    <w:rsid w:val="005F5F8C"/>
    <w:rsid w:val="005F652F"/>
    <w:rsid w:val="005F6B9D"/>
    <w:rsid w:val="00600234"/>
    <w:rsid w:val="00600895"/>
    <w:rsid w:val="00600E5B"/>
    <w:rsid w:val="00606165"/>
    <w:rsid w:val="006070F5"/>
    <w:rsid w:val="00607E22"/>
    <w:rsid w:val="006101E5"/>
    <w:rsid w:val="0061054B"/>
    <w:rsid w:val="00610D85"/>
    <w:rsid w:val="00613E7C"/>
    <w:rsid w:val="00616C2B"/>
    <w:rsid w:val="006201D1"/>
    <w:rsid w:val="00621077"/>
    <w:rsid w:val="00623964"/>
    <w:rsid w:val="006246AA"/>
    <w:rsid w:val="00625C55"/>
    <w:rsid w:val="00630555"/>
    <w:rsid w:val="00637011"/>
    <w:rsid w:val="00637C36"/>
    <w:rsid w:val="0064081A"/>
    <w:rsid w:val="00644F33"/>
    <w:rsid w:val="006454DF"/>
    <w:rsid w:val="00645B11"/>
    <w:rsid w:val="0064664A"/>
    <w:rsid w:val="00646776"/>
    <w:rsid w:val="00647B6E"/>
    <w:rsid w:val="006512D2"/>
    <w:rsid w:val="00651452"/>
    <w:rsid w:val="00651897"/>
    <w:rsid w:val="00653AFD"/>
    <w:rsid w:val="006546F2"/>
    <w:rsid w:val="00655F93"/>
    <w:rsid w:val="00656322"/>
    <w:rsid w:val="00662AF1"/>
    <w:rsid w:val="00663C92"/>
    <w:rsid w:val="00664558"/>
    <w:rsid w:val="00664D06"/>
    <w:rsid w:val="00665560"/>
    <w:rsid w:val="00673922"/>
    <w:rsid w:val="00674D5D"/>
    <w:rsid w:val="00675B03"/>
    <w:rsid w:val="00675F1C"/>
    <w:rsid w:val="00676300"/>
    <w:rsid w:val="006766C9"/>
    <w:rsid w:val="006774ED"/>
    <w:rsid w:val="00677D3E"/>
    <w:rsid w:val="00680489"/>
    <w:rsid w:val="00680A95"/>
    <w:rsid w:val="00681E5B"/>
    <w:rsid w:val="00683888"/>
    <w:rsid w:val="00685C73"/>
    <w:rsid w:val="00687D6F"/>
    <w:rsid w:val="0069294D"/>
    <w:rsid w:val="00695000"/>
    <w:rsid w:val="006A0787"/>
    <w:rsid w:val="006A09A2"/>
    <w:rsid w:val="006A1D8E"/>
    <w:rsid w:val="006A1ECC"/>
    <w:rsid w:val="006A25D8"/>
    <w:rsid w:val="006A2763"/>
    <w:rsid w:val="006A3BCA"/>
    <w:rsid w:val="006A4D16"/>
    <w:rsid w:val="006A69AE"/>
    <w:rsid w:val="006B0373"/>
    <w:rsid w:val="006B04C9"/>
    <w:rsid w:val="006B3C74"/>
    <w:rsid w:val="006B5B03"/>
    <w:rsid w:val="006C2845"/>
    <w:rsid w:val="006C2BFD"/>
    <w:rsid w:val="006C3202"/>
    <w:rsid w:val="006C3A49"/>
    <w:rsid w:val="006C56CE"/>
    <w:rsid w:val="006C71D7"/>
    <w:rsid w:val="006D0EA2"/>
    <w:rsid w:val="006D19CE"/>
    <w:rsid w:val="006D3AEC"/>
    <w:rsid w:val="006D4468"/>
    <w:rsid w:val="006D684B"/>
    <w:rsid w:val="006D7025"/>
    <w:rsid w:val="006D7FBB"/>
    <w:rsid w:val="006E1D65"/>
    <w:rsid w:val="006E20F5"/>
    <w:rsid w:val="006E4E2F"/>
    <w:rsid w:val="006E538B"/>
    <w:rsid w:val="006E629D"/>
    <w:rsid w:val="006E6CE1"/>
    <w:rsid w:val="006E6E1E"/>
    <w:rsid w:val="006E7957"/>
    <w:rsid w:val="006F0719"/>
    <w:rsid w:val="006F103C"/>
    <w:rsid w:val="006F4073"/>
    <w:rsid w:val="006F535C"/>
    <w:rsid w:val="006F7C5C"/>
    <w:rsid w:val="00701F5A"/>
    <w:rsid w:val="0070300C"/>
    <w:rsid w:val="00705F1A"/>
    <w:rsid w:val="00706B10"/>
    <w:rsid w:val="0070738F"/>
    <w:rsid w:val="00710116"/>
    <w:rsid w:val="0071116F"/>
    <w:rsid w:val="00711B57"/>
    <w:rsid w:val="007124F5"/>
    <w:rsid w:val="007125B7"/>
    <w:rsid w:val="00713801"/>
    <w:rsid w:val="00713E90"/>
    <w:rsid w:val="00715922"/>
    <w:rsid w:val="00715F4E"/>
    <w:rsid w:val="007175C2"/>
    <w:rsid w:val="00720215"/>
    <w:rsid w:val="00722358"/>
    <w:rsid w:val="00725A29"/>
    <w:rsid w:val="007272B5"/>
    <w:rsid w:val="00727729"/>
    <w:rsid w:val="00730605"/>
    <w:rsid w:val="00733CB8"/>
    <w:rsid w:val="00735718"/>
    <w:rsid w:val="00736C04"/>
    <w:rsid w:val="00740486"/>
    <w:rsid w:val="00742FBA"/>
    <w:rsid w:val="00751B85"/>
    <w:rsid w:val="007531E3"/>
    <w:rsid w:val="00756016"/>
    <w:rsid w:val="00756BAF"/>
    <w:rsid w:val="007627F2"/>
    <w:rsid w:val="00763A3B"/>
    <w:rsid w:val="00763CBF"/>
    <w:rsid w:val="00765B59"/>
    <w:rsid w:val="00767A9B"/>
    <w:rsid w:val="007704A0"/>
    <w:rsid w:val="007726A9"/>
    <w:rsid w:val="00772E24"/>
    <w:rsid w:val="00773307"/>
    <w:rsid w:val="00774BDE"/>
    <w:rsid w:val="007763D9"/>
    <w:rsid w:val="00777344"/>
    <w:rsid w:val="007818AD"/>
    <w:rsid w:val="0078309D"/>
    <w:rsid w:val="0078445C"/>
    <w:rsid w:val="007867A8"/>
    <w:rsid w:val="00791B0C"/>
    <w:rsid w:val="0079306D"/>
    <w:rsid w:val="00794614"/>
    <w:rsid w:val="00795B5C"/>
    <w:rsid w:val="007A05E1"/>
    <w:rsid w:val="007A3227"/>
    <w:rsid w:val="007A7DEF"/>
    <w:rsid w:val="007B01A7"/>
    <w:rsid w:val="007B057B"/>
    <w:rsid w:val="007B1EE8"/>
    <w:rsid w:val="007B33B8"/>
    <w:rsid w:val="007B5EF7"/>
    <w:rsid w:val="007C00D3"/>
    <w:rsid w:val="007C17F9"/>
    <w:rsid w:val="007C1DB6"/>
    <w:rsid w:val="007C34E3"/>
    <w:rsid w:val="007C4333"/>
    <w:rsid w:val="007C6074"/>
    <w:rsid w:val="007C653D"/>
    <w:rsid w:val="007C6573"/>
    <w:rsid w:val="007C740F"/>
    <w:rsid w:val="007D0047"/>
    <w:rsid w:val="007D4CF0"/>
    <w:rsid w:val="007D5560"/>
    <w:rsid w:val="007D69FF"/>
    <w:rsid w:val="007D7CB1"/>
    <w:rsid w:val="007E0025"/>
    <w:rsid w:val="007E43B9"/>
    <w:rsid w:val="007E4A3F"/>
    <w:rsid w:val="007E608A"/>
    <w:rsid w:val="007E7631"/>
    <w:rsid w:val="007F022A"/>
    <w:rsid w:val="007F08CA"/>
    <w:rsid w:val="007F0FFF"/>
    <w:rsid w:val="007F1371"/>
    <w:rsid w:val="007F2999"/>
    <w:rsid w:val="007F377A"/>
    <w:rsid w:val="007F4390"/>
    <w:rsid w:val="007F4A9D"/>
    <w:rsid w:val="007F5F4D"/>
    <w:rsid w:val="007F65E5"/>
    <w:rsid w:val="007F7169"/>
    <w:rsid w:val="008005B5"/>
    <w:rsid w:val="00801BA9"/>
    <w:rsid w:val="008023B8"/>
    <w:rsid w:val="008063E0"/>
    <w:rsid w:val="00806E77"/>
    <w:rsid w:val="00807F58"/>
    <w:rsid w:val="00807F95"/>
    <w:rsid w:val="0081295C"/>
    <w:rsid w:val="008134D5"/>
    <w:rsid w:val="00815937"/>
    <w:rsid w:val="0081617C"/>
    <w:rsid w:val="00816B70"/>
    <w:rsid w:val="00820073"/>
    <w:rsid w:val="00820682"/>
    <w:rsid w:val="00820E1D"/>
    <w:rsid w:val="008213A4"/>
    <w:rsid w:val="00823362"/>
    <w:rsid w:val="00830E28"/>
    <w:rsid w:val="00833F0F"/>
    <w:rsid w:val="0083694D"/>
    <w:rsid w:val="00837224"/>
    <w:rsid w:val="0083725A"/>
    <w:rsid w:val="00837927"/>
    <w:rsid w:val="00837C7F"/>
    <w:rsid w:val="008418A8"/>
    <w:rsid w:val="00843169"/>
    <w:rsid w:val="008444F1"/>
    <w:rsid w:val="008454BA"/>
    <w:rsid w:val="00846E0A"/>
    <w:rsid w:val="008510D0"/>
    <w:rsid w:val="00853739"/>
    <w:rsid w:val="00853BCC"/>
    <w:rsid w:val="00853C3A"/>
    <w:rsid w:val="0085454F"/>
    <w:rsid w:val="00855534"/>
    <w:rsid w:val="00855F8D"/>
    <w:rsid w:val="0085600E"/>
    <w:rsid w:val="00856C50"/>
    <w:rsid w:val="0085728E"/>
    <w:rsid w:val="00860EAF"/>
    <w:rsid w:val="00861BF9"/>
    <w:rsid w:val="0086252D"/>
    <w:rsid w:val="008629C5"/>
    <w:rsid w:val="00863CE6"/>
    <w:rsid w:val="00863F36"/>
    <w:rsid w:val="00867E59"/>
    <w:rsid w:val="00872982"/>
    <w:rsid w:val="008770B1"/>
    <w:rsid w:val="00880271"/>
    <w:rsid w:val="0088091F"/>
    <w:rsid w:val="00883834"/>
    <w:rsid w:val="00883A43"/>
    <w:rsid w:val="008843C2"/>
    <w:rsid w:val="00885907"/>
    <w:rsid w:val="0088653F"/>
    <w:rsid w:val="00890156"/>
    <w:rsid w:val="00891C51"/>
    <w:rsid w:val="0089439A"/>
    <w:rsid w:val="00894E0D"/>
    <w:rsid w:val="00896809"/>
    <w:rsid w:val="0089781B"/>
    <w:rsid w:val="00897995"/>
    <w:rsid w:val="008A13C5"/>
    <w:rsid w:val="008A4499"/>
    <w:rsid w:val="008A44ED"/>
    <w:rsid w:val="008A63EA"/>
    <w:rsid w:val="008A6411"/>
    <w:rsid w:val="008A72DE"/>
    <w:rsid w:val="008A763B"/>
    <w:rsid w:val="008B0A64"/>
    <w:rsid w:val="008B0D35"/>
    <w:rsid w:val="008B0F3E"/>
    <w:rsid w:val="008B1759"/>
    <w:rsid w:val="008B3547"/>
    <w:rsid w:val="008B53A7"/>
    <w:rsid w:val="008B5A14"/>
    <w:rsid w:val="008B6A23"/>
    <w:rsid w:val="008C2351"/>
    <w:rsid w:val="008C2A00"/>
    <w:rsid w:val="008C3012"/>
    <w:rsid w:val="008C45DB"/>
    <w:rsid w:val="008C79DF"/>
    <w:rsid w:val="008D04EE"/>
    <w:rsid w:val="008D05B7"/>
    <w:rsid w:val="008D149F"/>
    <w:rsid w:val="008D26F6"/>
    <w:rsid w:val="008D324C"/>
    <w:rsid w:val="008D38F1"/>
    <w:rsid w:val="008D3C6C"/>
    <w:rsid w:val="008D6912"/>
    <w:rsid w:val="008D71CE"/>
    <w:rsid w:val="008D795F"/>
    <w:rsid w:val="008D7D0D"/>
    <w:rsid w:val="008E000B"/>
    <w:rsid w:val="008E05B4"/>
    <w:rsid w:val="008E0724"/>
    <w:rsid w:val="008E0AD8"/>
    <w:rsid w:val="008E0E3B"/>
    <w:rsid w:val="008E582E"/>
    <w:rsid w:val="008E5B4D"/>
    <w:rsid w:val="008E601F"/>
    <w:rsid w:val="008E6FA8"/>
    <w:rsid w:val="008E747B"/>
    <w:rsid w:val="008F015D"/>
    <w:rsid w:val="008F1D96"/>
    <w:rsid w:val="008F1E79"/>
    <w:rsid w:val="008F2A31"/>
    <w:rsid w:val="008F338A"/>
    <w:rsid w:val="008F3634"/>
    <w:rsid w:val="008F66A7"/>
    <w:rsid w:val="00900919"/>
    <w:rsid w:val="00900CF1"/>
    <w:rsid w:val="009014B7"/>
    <w:rsid w:val="00902B13"/>
    <w:rsid w:val="00903D3E"/>
    <w:rsid w:val="009055D3"/>
    <w:rsid w:val="00905C03"/>
    <w:rsid w:val="009060CD"/>
    <w:rsid w:val="0090653A"/>
    <w:rsid w:val="00907A35"/>
    <w:rsid w:val="0091071C"/>
    <w:rsid w:val="00913B6C"/>
    <w:rsid w:val="00914B0E"/>
    <w:rsid w:val="0091545A"/>
    <w:rsid w:val="00915FEE"/>
    <w:rsid w:val="009161F2"/>
    <w:rsid w:val="00920199"/>
    <w:rsid w:val="0092064C"/>
    <w:rsid w:val="009207A4"/>
    <w:rsid w:val="0092095D"/>
    <w:rsid w:val="00920F02"/>
    <w:rsid w:val="00924D30"/>
    <w:rsid w:val="00925BF0"/>
    <w:rsid w:val="00926107"/>
    <w:rsid w:val="00927390"/>
    <w:rsid w:val="009321BF"/>
    <w:rsid w:val="00932FFC"/>
    <w:rsid w:val="009352B8"/>
    <w:rsid w:val="00935353"/>
    <w:rsid w:val="00935BD5"/>
    <w:rsid w:val="009361CA"/>
    <w:rsid w:val="009369DB"/>
    <w:rsid w:val="00941623"/>
    <w:rsid w:val="0094349E"/>
    <w:rsid w:val="009451E8"/>
    <w:rsid w:val="00946D62"/>
    <w:rsid w:val="00950052"/>
    <w:rsid w:val="00952086"/>
    <w:rsid w:val="00954BC4"/>
    <w:rsid w:val="00954FBE"/>
    <w:rsid w:val="00955B99"/>
    <w:rsid w:val="00956873"/>
    <w:rsid w:val="00957581"/>
    <w:rsid w:val="00960509"/>
    <w:rsid w:val="009624A9"/>
    <w:rsid w:val="00962931"/>
    <w:rsid w:val="00964063"/>
    <w:rsid w:val="00964CEE"/>
    <w:rsid w:val="00964EEE"/>
    <w:rsid w:val="0097068D"/>
    <w:rsid w:val="00972CBB"/>
    <w:rsid w:val="00973EA4"/>
    <w:rsid w:val="00973F83"/>
    <w:rsid w:val="0097460F"/>
    <w:rsid w:val="00975516"/>
    <w:rsid w:val="00975BBA"/>
    <w:rsid w:val="0097601A"/>
    <w:rsid w:val="00976AE9"/>
    <w:rsid w:val="00983032"/>
    <w:rsid w:val="00983EBC"/>
    <w:rsid w:val="00987FEF"/>
    <w:rsid w:val="00990199"/>
    <w:rsid w:val="00990410"/>
    <w:rsid w:val="00990FA9"/>
    <w:rsid w:val="0099120E"/>
    <w:rsid w:val="00991439"/>
    <w:rsid w:val="00993435"/>
    <w:rsid w:val="0099491B"/>
    <w:rsid w:val="00995298"/>
    <w:rsid w:val="009969E4"/>
    <w:rsid w:val="00997D49"/>
    <w:rsid w:val="009A09D3"/>
    <w:rsid w:val="009A4612"/>
    <w:rsid w:val="009A4BAC"/>
    <w:rsid w:val="009B1A2C"/>
    <w:rsid w:val="009B42C1"/>
    <w:rsid w:val="009B47FE"/>
    <w:rsid w:val="009B5AED"/>
    <w:rsid w:val="009B5B3D"/>
    <w:rsid w:val="009B61E6"/>
    <w:rsid w:val="009C11F7"/>
    <w:rsid w:val="009C1480"/>
    <w:rsid w:val="009C213B"/>
    <w:rsid w:val="009C265A"/>
    <w:rsid w:val="009C2B51"/>
    <w:rsid w:val="009C2DF5"/>
    <w:rsid w:val="009C3E85"/>
    <w:rsid w:val="009C5400"/>
    <w:rsid w:val="009C630B"/>
    <w:rsid w:val="009C6678"/>
    <w:rsid w:val="009C7C39"/>
    <w:rsid w:val="009C7DF1"/>
    <w:rsid w:val="009D1E05"/>
    <w:rsid w:val="009D3255"/>
    <w:rsid w:val="009D6E94"/>
    <w:rsid w:val="009D7A41"/>
    <w:rsid w:val="009E0CE9"/>
    <w:rsid w:val="009E4E3B"/>
    <w:rsid w:val="009E5327"/>
    <w:rsid w:val="009E5CF7"/>
    <w:rsid w:val="009E6927"/>
    <w:rsid w:val="009F0BBF"/>
    <w:rsid w:val="009F1138"/>
    <w:rsid w:val="009F140F"/>
    <w:rsid w:val="009F2CF5"/>
    <w:rsid w:val="009F3A34"/>
    <w:rsid w:val="009F45D0"/>
    <w:rsid w:val="009F4BF4"/>
    <w:rsid w:val="00A010F0"/>
    <w:rsid w:val="00A03C4D"/>
    <w:rsid w:val="00A048F5"/>
    <w:rsid w:val="00A05DE3"/>
    <w:rsid w:val="00A1106B"/>
    <w:rsid w:val="00A11337"/>
    <w:rsid w:val="00A16A2B"/>
    <w:rsid w:val="00A21708"/>
    <w:rsid w:val="00A225F7"/>
    <w:rsid w:val="00A22880"/>
    <w:rsid w:val="00A2512B"/>
    <w:rsid w:val="00A25F50"/>
    <w:rsid w:val="00A27072"/>
    <w:rsid w:val="00A300DA"/>
    <w:rsid w:val="00A320F0"/>
    <w:rsid w:val="00A32572"/>
    <w:rsid w:val="00A36383"/>
    <w:rsid w:val="00A36DF9"/>
    <w:rsid w:val="00A40208"/>
    <w:rsid w:val="00A417C4"/>
    <w:rsid w:val="00A46C64"/>
    <w:rsid w:val="00A46E05"/>
    <w:rsid w:val="00A5205B"/>
    <w:rsid w:val="00A520A3"/>
    <w:rsid w:val="00A537B4"/>
    <w:rsid w:val="00A54A24"/>
    <w:rsid w:val="00A54F0B"/>
    <w:rsid w:val="00A569DB"/>
    <w:rsid w:val="00A56F2B"/>
    <w:rsid w:val="00A578E4"/>
    <w:rsid w:val="00A57B08"/>
    <w:rsid w:val="00A57FDA"/>
    <w:rsid w:val="00A6350C"/>
    <w:rsid w:val="00A651EE"/>
    <w:rsid w:val="00A655C1"/>
    <w:rsid w:val="00A65DF9"/>
    <w:rsid w:val="00A672C2"/>
    <w:rsid w:val="00A677E3"/>
    <w:rsid w:val="00A7260F"/>
    <w:rsid w:val="00A73C5A"/>
    <w:rsid w:val="00A75CE5"/>
    <w:rsid w:val="00A767F0"/>
    <w:rsid w:val="00A77713"/>
    <w:rsid w:val="00A81BCC"/>
    <w:rsid w:val="00A834CB"/>
    <w:rsid w:val="00A83989"/>
    <w:rsid w:val="00A84B83"/>
    <w:rsid w:val="00A86AB6"/>
    <w:rsid w:val="00A90B28"/>
    <w:rsid w:val="00A95C2F"/>
    <w:rsid w:val="00A97792"/>
    <w:rsid w:val="00AA156E"/>
    <w:rsid w:val="00AA16E1"/>
    <w:rsid w:val="00AA343A"/>
    <w:rsid w:val="00AA473C"/>
    <w:rsid w:val="00AA4FD7"/>
    <w:rsid w:val="00AA550A"/>
    <w:rsid w:val="00AA5B27"/>
    <w:rsid w:val="00AA6D08"/>
    <w:rsid w:val="00AB140B"/>
    <w:rsid w:val="00AB1E5B"/>
    <w:rsid w:val="00AB2C2B"/>
    <w:rsid w:val="00AB2E38"/>
    <w:rsid w:val="00AB40C0"/>
    <w:rsid w:val="00AB475B"/>
    <w:rsid w:val="00AB6046"/>
    <w:rsid w:val="00AC0BB2"/>
    <w:rsid w:val="00AC0D8B"/>
    <w:rsid w:val="00AC182A"/>
    <w:rsid w:val="00AC2FE6"/>
    <w:rsid w:val="00AC3748"/>
    <w:rsid w:val="00AC66A8"/>
    <w:rsid w:val="00AC7C2F"/>
    <w:rsid w:val="00AC7DDD"/>
    <w:rsid w:val="00AD04B3"/>
    <w:rsid w:val="00AD0898"/>
    <w:rsid w:val="00AD17C0"/>
    <w:rsid w:val="00AD18D5"/>
    <w:rsid w:val="00AD2111"/>
    <w:rsid w:val="00AD3FB8"/>
    <w:rsid w:val="00AD4A92"/>
    <w:rsid w:val="00AD7336"/>
    <w:rsid w:val="00AE2778"/>
    <w:rsid w:val="00AE2CC9"/>
    <w:rsid w:val="00AE3C51"/>
    <w:rsid w:val="00AF22ED"/>
    <w:rsid w:val="00AF3067"/>
    <w:rsid w:val="00AF42A5"/>
    <w:rsid w:val="00AF442A"/>
    <w:rsid w:val="00AF4BEB"/>
    <w:rsid w:val="00AF4E37"/>
    <w:rsid w:val="00AF6BF4"/>
    <w:rsid w:val="00AF74AD"/>
    <w:rsid w:val="00B0041C"/>
    <w:rsid w:val="00B016A4"/>
    <w:rsid w:val="00B02B53"/>
    <w:rsid w:val="00B02F51"/>
    <w:rsid w:val="00B03F78"/>
    <w:rsid w:val="00B04B4A"/>
    <w:rsid w:val="00B05E1D"/>
    <w:rsid w:val="00B05FBD"/>
    <w:rsid w:val="00B1200F"/>
    <w:rsid w:val="00B122B6"/>
    <w:rsid w:val="00B14B80"/>
    <w:rsid w:val="00B154CC"/>
    <w:rsid w:val="00B158E9"/>
    <w:rsid w:val="00B15B5F"/>
    <w:rsid w:val="00B15EB0"/>
    <w:rsid w:val="00B1698C"/>
    <w:rsid w:val="00B20F11"/>
    <w:rsid w:val="00B21573"/>
    <w:rsid w:val="00B21A7D"/>
    <w:rsid w:val="00B22525"/>
    <w:rsid w:val="00B234CD"/>
    <w:rsid w:val="00B2528F"/>
    <w:rsid w:val="00B25F9B"/>
    <w:rsid w:val="00B26A5A"/>
    <w:rsid w:val="00B2724A"/>
    <w:rsid w:val="00B2789F"/>
    <w:rsid w:val="00B27A05"/>
    <w:rsid w:val="00B30A2D"/>
    <w:rsid w:val="00B32847"/>
    <w:rsid w:val="00B32CDF"/>
    <w:rsid w:val="00B33A6E"/>
    <w:rsid w:val="00B35D81"/>
    <w:rsid w:val="00B4069C"/>
    <w:rsid w:val="00B41B1E"/>
    <w:rsid w:val="00B43F17"/>
    <w:rsid w:val="00B448C1"/>
    <w:rsid w:val="00B44952"/>
    <w:rsid w:val="00B502A9"/>
    <w:rsid w:val="00B539BA"/>
    <w:rsid w:val="00B575B5"/>
    <w:rsid w:val="00B57EA0"/>
    <w:rsid w:val="00B6164A"/>
    <w:rsid w:val="00B65170"/>
    <w:rsid w:val="00B666C1"/>
    <w:rsid w:val="00B672CC"/>
    <w:rsid w:val="00B70495"/>
    <w:rsid w:val="00B71214"/>
    <w:rsid w:val="00B7252D"/>
    <w:rsid w:val="00B74CB0"/>
    <w:rsid w:val="00B750ED"/>
    <w:rsid w:val="00B77070"/>
    <w:rsid w:val="00B77C38"/>
    <w:rsid w:val="00B77FE2"/>
    <w:rsid w:val="00B83743"/>
    <w:rsid w:val="00B83C60"/>
    <w:rsid w:val="00B84BEB"/>
    <w:rsid w:val="00B86987"/>
    <w:rsid w:val="00B870CE"/>
    <w:rsid w:val="00B9110F"/>
    <w:rsid w:val="00B911E0"/>
    <w:rsid w:val="00B917E4"/>
    <w:rsid w:val="00B91AC4"/>
    <w:rsid w:val="00B950F1"/>
    <w:rsid w:val="00B950F4"/>
    <w:rsid w:val="00B95BBB"/>
    <w:rsid w:val="00BA01F7"/>
    <w:rsid w:val="00BA1015"/>
    <w:rsid w:val="00BA1110"/>
    <w:rsid w:val="00BA1C67"/>
    <w:rsid w:val="00BA217B"/>
    <w:rsid w:val="00BA2AB1"/>
    <w:rsid w:val="00BA4424"/>
    <w:rsid w:val="00BA55C6"/>
    <w:rsid w:val="00BA6076"/>
    <w:rsid w:val="00BB2D2C"/>
    <w:rsid w:val="00BB4875"/>
    <w:rsid w:val="00BB684E"/>
    <w:rsid w:val="00BC27C4"/>
    <w:rsid w:val="00BC5E1A"/>
    <w:rsid w:val="00BD2C52"/>
    <w:rsid w:val="00BD6C2B"/>
    <w:rsid w:val="00BE19CA"/>
    <w:rsid w:val="00BE20B8"/>
    <w:rsid w:val="00BE2EC9"/>
    <w:rsid w:val="00BE38E2"/>
    <w:rsid w:val="00BE414D"/>
    <w:rsid w:val="00BE4465"/>
    <w:rsid w:val="00BE5256"/>
    <w:rsid w:val="00BE6689"/>
    <w:rsid w:val="00BE7998"/>
    <w:rsid w:val="00BF1B2A"/>
    <w:rsid w:val="00BF1CCA"/>
    <w:rsid w:val="00BF5398"/>
    <w:rsid w:val="00BF6489"/>
    <w:rsid w:val="00C007C2"/>
    <w:rsid w:val="00C03F5C"/>
    <w:rsid w:val="00C110D9"/>
    <w:rsid w:val="00C1657E"/>
    <w:rsid w:val="00C16840"/>
    <w:rsid w:val="00C16D1D"/>
    <w:rsid w:val="00C20DD9"/>
    <w:rsid w:val="00C211C5"/>
    <w:rsid w:val="00C2161D"/>
    <w:rsid w:val="00C2195F"/>
    <w:rsid w:val="00C23FA2"/>
    <w:rsid w:val="00C241AB"/>
    <w:rsid w:val="00C31886"/>
    <w:rsid w:val="00C31AA5"/>
    <w:rsid w:val="00C33AAF"/>
    <w:rsid w:val="00C33F45"/>
    <w:rsid w:val="00C33FD0"/>
    <w:rsid w:val="00C34327"/>
    <w:rsid w:val="00C3782F"/>
    <w:rsid w:val="00C378A9"/>
    <w:rsid w:val="00C37DEA"/>
    <w:rsid w:val="00C40CEA"/>
    <w:rsid w:val="00C42791"/>
    <w:rsid w:val="00C43C05"/>
    <w:rsid w:val="00C516B1"/>
    <w:rsid w:val="00C52EDA"/>
    <w:rsid w:val="00C53C00"/>
    <w:rsid w:val="00C561A7"/>
    <w:rsid w:val="00C565F7"/>
    <w:rsid w:val="00C5670E"/>
    <w:rsid w:val="00C56E4C"/>
    <w:rsid w:val="00C57562"/>
    <w:rsid w:val="00C57BD1"/>
    <w:rsid w:val="00C57F23"/>
    <w:rsid w:val="00C61FD9"/>
    <w:rsid w:val="00C62993"/>
    <w:rsid w:val="00C6358F"/>
    <w:rsid w:val="00C64784"/>
    <w:rsid w:val="00C65753"/>
    <w:rsid w:val="00C65C0E"/>
    <w:rsid w:val="00C67DC4"/>
    <w:rsid w:val="00C71A3B"/>
    <w:rsid w:val="00C73C3D"/>
    <w:rsid w:val="00C749F8"/>
    <w:rsid w:val="00C764F2"/>
    <w:rsid w:val="00C77B97"/>
    <w:rsid w:val="00C80F72"/>
    <w:rsid w:val="00C83D0C"/>
    <w:rsid w:val="00C84C3E"/>
    <w:rsid w:val="00C84E80"/>
    <w:rsid w:val="00C87CED"/>
    <w:rsid w:val="00C9001E"/>
    <w:rsid w:val="00C91986"/>
    <w:rsid w:val="00C93DC0"/>
    <w:rsid w:val="00C94110"/>
    <w:rsid w:val="00C96237"/>
    <w:rsid w:val="00C96F3C"/>
    <w:rsid w:val="00C975A6"/>
    <w:rsid w:val="00C97DBA"/>
    <w:rsid w:val="00CA025E"/>
    <w:rsid w:val="00CA216C"/>
    <w:rsid w:val="00CA6F81"/>
    <w:rsid w:val="00CB2D5A"/>
    <w:rsid w:val="00CB3E1B"/>
    <w:rsid w:val="00CB61E9"/>
    <w:rsid w:val="00CC0E10"/>
    <w:rsid w:val="00CC651F"/>
    <w:rsid w:val="00CC70C9"/>
    <w:rsid w:val="00CC7C71"/>
    <w:rsid w:val="00CD0C4B"/>
    <w:rsid w:val="00CD1215"/>
    <w:rsid w:val="00CD1EBB"/>
    <w:rsid w:val="00CD22B2"/>
    <w:rsid w:val="00CD28D2"/>
    <w:rsid w:val="00CD54EB"/>
    <w:rsid w:val="00CD665F"/>
    <w:rsid w:val="00CD7248"/>
    <w:rsid w:val="00CD7E80"/>
    <w:rsid w:val="00CE0BB6"/>
    <w:rsid w:val="00CE1014"/>
    <w:rsid w:val="00CE2A9E"/>
    <w:rsid w:val="00CE2AAB"/>
    <w:rsid w:val="00CE31B4"/>
    <w:rsid w:val="00CE5C3A"/>
    <w:rsid w:val="00CE66E7"/>
    <w:rsid w:val="00CE79D2"/>
    <w:rsid w:val="00CF28DB"/>
    <w:rsid w:val="00CF2EA9"/>
    <w:rsid w:val="00CF3543"/>
    <w:rsid w:val="00CF360B"/>
    <w:rsid w:val="00CF4BD6"/>
    <w:rsid w:val="00CF6299"/>
    <w:rsid w:val="00CF7D8F"/>
    <w:rsid w:val="00D00110"/>
    <w:rsid w:val="00D028F2"/>
    <w:rsid w:val="00D044D5"/>
    <w:rsid w:val="00D045CC"/>
    <w:rsid w:val="00D065D2"/>
    <w:rsid w:val="00D07284"/>
    <w:rsid w:val="00D1113A"/>
    <w:rsid w:val="00D1156E"/>
    <w:rsid w:val="00D11E13"/>
    <w:rsid w:val="00D12733"/>
    <w:rsid w:val="00D14044"/>
    <w:rsid w:val="00D140DB"/>
    <w:rsid w:val="00D15772"/>
    <w:rsid w:val="00D16378"/>
    <w:rsid w:val="00D16702"/>
    <w:rsid w:val="00D20349"/>
    <w:rsid w:val="00D20A9E"/>
    <w:rsid w:val="00D2244C"/>
    <w:rsid w:val="00D2298B"/>
    <w:rsid w:val="00D231C3"/>
    <w:rsid w:val="00D24BC2"/>
    <w:rsid w:val="00D258B5"/>
    <w:rsid w:val="00D27B23"/>
    <w:rsid w:val="00D308D7"/>
    <w:rsid w:val="00D31F06"/>
    <w:rsid w:val="00D34BEF"/>
    <w:rsid w:val="00D34C64"/>
    <w:rsid w:val="00D35CFB"/>
    <w:rsid w:val="00D36801"/>
    <w:rsid w:val="00D36D38"/>
    <w:rsid w:val="00D43E37"/>
    <w:rsid w:val="00D43F44"/>
    <w:rsid w:val="00D45197"/>
    <w:rsid w:val="00D4575E"/>
    <w:rsid w:val="00D51B35"/>
    <w:rsid w:val="00D52406"/>
    <w:rsid w:val="00D53A57"/>
    <w:rsid w:val="00D56E8B"/>
    <w:rsid w:val="00D63DAF"/>
    <w:rsid w:val="00D6579B"/>
    <w:rsid w:val="00D66463"/>
    <w:rsid w:val="00D675EA"/>
    <w:rsid w:val="00D67FAA"/>
    <w:rsid w:val="00D7102B"/>
    <w:rsid w:val="00D71C4C"/>
    <w:rsid w:val="00D72798"/>
    <w:rsid w:val="00D729B5"/>
    <w:rsid w:val="00D80549"/>
    <w:rsid w:val="00D8073C"/>
    <w:rsid w:val="00D81BD0"/>
    <w:rsid w:val="00D826F4"/>
    <w:rsid w:val="00D827A7"/>
    <w:rsid w:val="00D84B6A"/>
    <w:rsid w:val="00D854ED"/>
    <w:rsid w:val="00D86E21"/>
    <w:rsid w:val="00D875DB"/>
    <w:rsid w:val="00D9054F"/>
    <w:rsid w:val="00D912E1"/>
    <w:rsid w:val="00D92A3D"/>
    <w:rsid w:val="00D92FE5"/>
    <w:rsid w:val="00D93DFA"/>
    <w:rsid w:val="00D94509"/>
    <w:rsid w:val="00D94632"/>
    <w:rsid w:val="00D97602"/>
    <w:rsid w:val="00DA16D7"/>
    <w:rsid w:val="00DA261B"/>
    <w:rsid w:val="00DA2FF5"/>
    <w:rsid w:val="00DA43BC"/>
    <w:rsid w:val="00DA4CF7"/>
    <w:rsid w:val="00DA4DC4"/>
    <w:rsid w:val="00DA7507"/>
    <w:rsid w:val="00DA7C63"/>
    <w:rsid w:val="00DA7D2C"/>
    <w:rsid w:val="00DB046F"/>
    <w:rsid w:val="00DB058C"/>
    <w:rsid w:val="00DB09C0"/>
    <w:rsid w:val="00DB3C1B"/>
    <w:rsid w:val="00DB41E2"/>
    <w:rsid w:val="00DB57D8"/>
    <w:rsid w:val="00DB68C4"/>
    <w:rsid w:val="00DC052B"/>
    <w:rsid w:val="00DC22F9"/>
    <w:rsid w:val="00DC5B48"/>
    <w:rsid w:val="00DC5DF9"/>
    <w:rsid w:val="00DC63FF"/>
    <w:rsid w:val="00DC7ED3"/>
    <w:rsid w:val="00DD077A"/>
    <w:rsid w:val="00DD1B27"/>
    <w:rsid w:val="00DD1B3D"/>
    <w:rsid w:val="00DD36CA"/>
    <w:rsid w:val="00DD373B"/>
    <w:rsid w:val="00DD6FC4"/>
    <w:rsid w:val="00DD7D55"/>
    <w:rsid w:val="00DD7FD4"/>
    <w:rsid w:val="00DE025A"/>
    <w:rsid w:val="00DE431F"/>
    <w:rsid w:val="00DE60F6"/>
    <w:rsid w:val="00DF3907"/>
    <w:rsid w:val="00DF3914"/>
    <w:rsid w:val="00E0050B"/>
    <w:rsid w:val="00E01672"/>
    <w:rsid w:val="00E0216C"/>
    <w:rsid w:val="00E0330C"/>
    <w:rsid w:val="00E04B24"/>
    <w:rsid w:val="00E06888"/>
    <w:rsid w:val="00E13C5E"/>
    <w:rsid w:val="00E20886"/>
    <w:rsid w:val="00E21B23"/>
    <w:rsid w:val="00E22A83"/>
    <w:rsid w:val="00E22EA8"/>
    <w:rsid w:val="00E22F62"/>
    <w:rsid w:val="00E23297"/>
    <w:rsid w:val="00E2684A"/>
    <w:rsid w:val="00E31042"/>
    <w:rsid w:val="00E31E85"/>
    <w:rsid w:val="00E34ADC"/>
    <w:rsid w:val="00E41AB6"/>
    <w:rsid w:val="00E41C35"/>
    <w:rsid w:val="00E42625"/>
    <w:rsid w:val="00E429D8"/>
    <w:rsid w:val="00E42F6B"/>
    <w:rsid w:val="00E45740"/>
    <w:rsid w:val="00E459CB"/>
    <w:rsid w:val="00E4787A"/>
    <w:rsid w:val="00E47949"/>
    <w:rsid w:val="00E50211"/>
    <w:rsid w:val="00E503A5"/>
    <w:rsid w:val="00E5383F"/>
    <w:rsid w:val="00E53F04"/>
    <w:rsid w:val="00E563FC"/>
    <w:rsid w:val="00E569ED"/>
    <w:rsid w:val="00E62120"/>
    <w:rsid w:val="00E64088"/>
    <w:rsid w:val="00E6728B"/>
    <w:rsid w:val="00E67305"/>
    <w:rsid w:val="00E674A0"/>
    <w:rsid w:val="00E70FD2"/>
    <w:rsid w:val="00E71D07"/>
    <w:rsid w:val="00E7258B"/>
    <w:rsid w:val="00E73B2B"/>
    <w:rsid w:val="00E7491D"/>
    <w:rsid w:val="00E75C27"/>
    <w:rsid w:val="00E76C82"/>
    <w:rsid w:val="00E77286"/>
    <w:rsid w:val="00E775C7"/>
    <w:rsid w:val="00E80CC6"/>
    <w:rsid w:val="00E81598"/>
    <w:rsid w:val="00E81D09"/>
    <w:rsid w:val="00E832E7"/>
    <w:rsid w:val="00E84587"/>
    <w:rsid w:val="00E854DB"/>
    <w:rsid w:val="00E85894"/>
    <w:rsid w:val="00E934CD"/>
    <w:rsid w:val="00E945BF"/>
    <w:rsid w:val="00E95B1D"/>
    <w:rsid w:val="00EA17BC"/>
    <w:rsid w:val="00EA197D"/>
    <w:rsid w:val="00EA2B7F"/>
    <w:rsid w:val="00EA36CE"/>
    <w:rsid w:val="00EA3FF6"/>
    <w:rsid w:val="00EA51A2"/>
    <w:rsid w:val="00EA554C"/>
    <w:rsid w:val="00EA5676"/>
    <w:rsid w:val="00EA627C"/>
    <w:rsid w:val="00EA6639"/>
    <w:rsid w:val="00EA6AA2"/>
    <w:rsid w:val="00EA74E6"/>
    <w:rsid w:val="00EB08EB"/>
    <w:rsid w:val="00EB1426"/>
    <w:rsid w:val="00EB1DDD"/>
    <w:rsid w:val="00EB63EC"/>
    <w:rsid w:val="00EC0D9F"/>
    <w:rsid w:val="00EC14F0"/>
    <w:rsid w:val="00EC1782"/>
    <w:rsid w:val="00EC5383"/>
    <w:rsid w:val="00EC5BBE"/>
    <w:rsid w:val="00ED1BBA"/>
    <w:rsid w:val="00ED4CCC"/>
    <w:rsid w:val="00ED5002"/>
    <w:rsid w:val="00ED69A6"/>
    <w:rsid w:val="00EE0865"/>
    <w:rsid w:val="00EE0F5F"/>
    <w:rsid w:val="00EE15C6"/>
    <w:rsid w:val="00EE4A70"/>
    <w:rsid w:val="00EE522D"/>
    <w:rsid w:val="00EE5FD3"/>
    <w:rsid w:val="00EE758D"/>
    <w:rsid w:val="00EE7902"/>
    <w:rsid w:val="00EF04CC"/>
    <w:rsid w:val="00EF1C2B"/>
    <w:rsid w:val="00EF263E"/>
    <w:rsid w:val="00EF384D"/>
    <w:rsid w:val="00EF402B"/>
    <w:rsid w:val="00EF4194"/>
    <w:rsid w:val="00EF42EC"/>
    <w:rsid w:val="00EF44CA"/>
    <w:rsid w:val="00EF4E68"/>
    <w:rsid w:val="00EF5477"/>
    <w:rsid w:val="00EF6B79"/>
    <w:rsid w:val="00EF6BC6"/>
    <w:rsid w:val="00F0286A"/>
    <w:rsid w:val="00F0566E"/>
    <w:rsid w:val="00F064D3"/>
    <w:rsid w:val="00F06A69"/>
    <w:rsid w:val="00F07E3B"/>
    <w:rsid w:val="00F12C05"/>
    <w:rsid w:val="00F133FB"/>
    <w:rsid w:val="00F15D18"/>
    <w:rsid w:val="00F15D8D"/>
    <w:rsid w:val="00F172D5"/>
    <w:rsid w:val="00F1743B"/>
    <w:rsid w:val="00F20171"/>
    <w:rsid w:val="00F207D0"/>
    <w:rsid w:val="00F215CF"/>
    <w:rsid w:val="00F21B76"/>
    <w:rsid w:val="00F2286A"/>
    <w:rsid w:val="00F23DE3"/>
    <w:rsid w:val="00F240B0"/>
    <w:rsid w:val="00F24AF4"/>
    <w:rsid w:val="00F24D70"/>
    <w:rsid w:val="00F24EF7"/>
    <w:rsid w:val="00F2653C"/>
    <w:rsid w:val="00F275D4"/>
    <w:rsid w:val="00F3239E"/>
    <w:rsid w:val="00F32620"/>
    <w:rsid w:val="00F32667"/>
    <w:rsid w:val="00F33028"/>
    <w:rsid w:val="00F33647"/>
    <w:rsid w:val="00F36595"/>
    <w:rsid w:val="00F36B11"/>
    <w:rsid w:val="00F37EAC"/>
    <w:rsid w:val="00F400AB"/>
    <w:rsid w:val="00F41ADF"/>
    <w:rsid w:val="00F42849"/>
    <w:rsid w:val="00F43D94"/>
    <w:rsid w:val="00F464AD"/>
    <w:rsid w:val="00F4667F"/>
    <w:rsid w:val="00F4701C"/>
    <w:rsid w:val="00F536F9"/>
    <w:rsid w:val="00F53E0E"/>
    <w:rsid w:val="00F551A4"/>
    <w:rsid w:val="00F565D7"/>
    <w:rsid w:val="00F56E4B"/>
    <w:rsid w:val="00F57570"/>
    <w:rsid w:val="00F605C0"/>
    <w:rsid w:val="00F60A66"/>
    <w:rsid w:val="00F60D74"/>
    <w:rsid w:val="00F624A3"/>
    <w:rsid w:val="00F63AE1"/>
    <w:rsid w:val="00F64703"/>
    <w:rsid w:val="00F64A39"/>
    <w:rsid w:val="00F64B87"/>
    <w:rsid w:val="00F722A5"/>
    <w:rsid w:val="00F7293D"/>
    <w:rsid w:val="00F73C4E"/>
    <w:rsid w:val="00F75B1D"/>
    <w:rsid w:val="00F7651A"/>
    <w:rsid w:val="00F7714D"/>
    <w:rsid w:val="00F82553"/>
    <w:rsid w:val="00F834D4"/>
    <w:rsid w:val="00F85093"/>
    <w:rsid w:val="00F8661B"/>
    <w:rsid w:val="00F86DFC"/>
    <w:rsid w:val="00F9154F"/>
    <w:rsid w:val="00F92C73"/>
    <w:rsid w:val="00F93184"/>
    <w:rsid w:val="00F9454B"/>
    <w:rsid w:val="00F954E2"/>
    <w:rsid w:val="00FA03E9"/>
    <w:rsid w:val="00FA06D3"/>
    <w:rsid w:val="00FA0A98"/>
    <w:rsid w:val="00FA34D0"/>
    <w:rsid w:val="00FA3D50"/>
    <w:rsid w:val="00FA4CF3"/>
    <w:rsid w:val="00FA5454"/>
    <w:rsid w:val="00FA5DDE"/>
    <w:rsid w:val="00FA7C1B"/>
    <w:rsid w:val="00FB177C"/>
    <w:rsid w:val="00FB2884"/>
    <w:rsid w:val="00FB2CF9"/>
    <w:rsid w:val="00FB341C"/>
    <w:rsid w:val="00FB344C"/>
    <w:rsid w:val="00FB3515"/>
    <w:rsid w:val="00FB450D"/>
    <w:rsid w:val="00FB59F6"/>
    <w:rsid w:val="00FB682F"/>
    <w:rsid w:val="00FB7003"/>
    <w:rsid w:val="00FB7805"/>
    <w:rsid w:val="00FB7E32"/>
    <w:rsid w:val="00FC007A"/>
    <w:rsid w:val="00FC0F36"/>
    <w:rsid w:val="00FC1A22"/>
    <w:rsid w:val="00FC1B46"/>
    <w:rsid w:val="00FC267B"/>
    <w:rsid w:val="00FC2694"/>
    <w:rsid w:val="00FC427B"/>
    <w:rsid w:val="00FC5AAA"/>
    <w:rsid w:val="00FC5C01"/>
    <w:rsid w:val="00FC5F6F"/>
    <w:rsid w:val="00FD015C"/>
    <w:rsid w:val="00FD026C"/>
    <w:rsid w:val="00FD0718"/>
    <w:rsid w:val="00FD078D"/>
    <w:rsid w:val="00FD3F8F"/>
    <w:rsid w:val="00FD4177"/>
    <w:rsid w:val="00FD48F4"/>
    <w:rsid w:val="00FD4DC9"/>
    <w:rsid w:val="00FD6277"/>
    <w:rsid w:val="00FD6878"/>
    <w:rsid w:val="00FD6CA7"/>
    <w:rsid w:val="00FE0406"/>
    <w:rsid w:val="00FE04F6"/>
    <w:rsid w:val="00FE0BEE"/>
    <w:rsid w:val="00FE3B09"/>
    <w:rsid w:val="00FE4D07"/>
    <w:rsid w:val="00FE4E29"/>
    <w:rsid w:val="00FE53E4"/>
    <w:rsid w:val="00FE5FAC"/>
    <w:rsid w:val="00FF07EC"/>
    <w:rsid w:val="00FF1BDA"/>
    <w:rsid w:val="00FF29E3"/>
    <w:rsid w:val="00FF4D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uiPriority w:val="9"/>
    <w:qFormat/>
    <w:rsid w:val="006F53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FB177C"/>
    <w:pPr>
      <w:keepNext/>
      <w:jc w:val="center"/>
      <w:outlineLvl w:val="1"/>
    </w:pPr>
    <w:rPr>
      <w:b/>
      <w:bCs/>
      <w:sz w:val="52"/>
    </w:rPr>
  </w:style>
  <w:style w:type="paragraph" w:styleId="berschrift3">
    <w:name w:val="heading 3"/>
    <w:basedOn w:val="Standard"/>
    <w:next w:val="Standard"/>
    <w:link w:val="berschrift3Zchn"/>
    <w:uiPriority w:val="9"/>
    <w:semiHidden/>
    <w:unhideWhenUsed/>
    <w:qFormat/>
    <w:rsid w:val="0044729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qFormat/>
    <w:rsid w:val="00C1657E"/>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B306E"/>
    <w:pPr>
      <w:tabs>
        <w:tab w:val="center" w:pos="4536"/>
        <w:tab w:val="right" w:pos="9072"/>
      </w:tabs>
    </w:pPr>
  </w:style>
  <w:style w:type="paragraph" w:styleId="Fuzeile">
    <w:name w:val="footer"/>
    <w:basedOn w:val="Standard"/>
    <w:link w:val="FuzeileZchn"/>
    <w:uiPriority w:val="99"/>
    <w:rsid w:val="003B306E"/>
    <w:pPr>
      <w:tabs>
        <w:tab w:val="center" w:pos="4536"/>
        <w:tab w:val="right" w:pos="9072"/>
      </w:tabs>
    </w:pPr>
  </w:style>
  <w:style w:type="paragraph" w:styleId="Sprechblasentext">
    <w:name w:val="Balloon Text"/>
    <w:basedOn w:val="Standard"/>
    <w:semiHidden/>
    <w:rsid w:val="00647B6E"/>
    <w:rPr>
      <w:rFonts w:ascii="Tahoma" w:hAnsi="Tahoma" w:cs="Tahoma"/>
      <w:sz w:val="16"/>
      <w:szCs w:val="16"/>
    </w:rPr>
  </w:style>
  <w:style w:type="character" w:styleId="Hyperlink">
    <w:name w:val="Hyperlink"/>
    <w:uiPriority w:val="99"/>
    <w:rsid w:val="00975BBA"/>
    <w:rPr>
      <w:color w:val="0000FF"/>
      <w:u w:val="single"/>
    </w:rPr>
  </w:style>
  <w:style w:type="table" w:styleId="Tabellenraster">
    <w:name w:val="Table Grid"/>
    <w:basedOn w:val="NormaleTabelle"/>
    <w:rsid w:val="00072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82449"/>
  </w:style>
  <w:style w:type="paragraph" w:styleId="Textkrper2">
    <w:name w:val="Body Text 2"/>
    <w:basedOn w:val="Standard"/>
    <w:rsid w:val="0089439A"/>
    <w:rPr>
      <w:rFonts w:ascii="Arial" w:hAnsi="Arial" w:cs="Arial"/>
      <w:sz w:val="22"/>
    </w:rPr>
  </w:style>
  <w:style w:type="paragraph" w:styleId="StandardWeb">
    <w:name w:val="Normal (Web)"/>
    <w:basedOn w:val="Standard"/>
    <w:uiPriority w:val="99"/>
    <w:rsid w:val="00FB177C"/>
    <w:pPr>
      <w:spacing w:before="100" w:beforeAutospacing="1" w:after="100" w:afterAutospacing="1"/>
    </w:pPr>
    <w:rPr>
      <w:rFonts w:ascii="Arial" w:hAnsi="Arial" w:cs="Arial"/>
      <w:color w:val="000000"/>
      <w:sz w:val="20"/>
      <w:szCs w:val="20"/>
    </w:rPr>
  </w:style>
  <w:style w:type="paragraph" w:customStyle="1" w:styleId="Default">
    <w:name w:val="Default"/>
    <w:rsid w:val="00FB177C"/>
    <w:pPr>
      <w:autoSpaceDE w:val="0"/>
      <w:autoSpaceDN w:val="0"/>
      <w:adjustRightInd w:val="0"/>
    </w:pPr>
    <w:rPr>
      <w:rFonts w:ascii="Arial" w:hAnsi="Arial" w:cs="Arial"/>
      <w:color w:val="000000"/>
      <w:sz w:val="24"/>
      <w:szCs w:val="24"/>
    </w:rPr>
  </w:style>
  <w:style w:type="paragraph" w:styleId="Textkrper">
    <w:name w:val="Body Text"/>
    <w:basedOn w:val="Standard"/>
    <w:rsid w:val="00E20886"/>
    <w:pPr>
      <w:spacing w:after="120"/>
    </w:pPr>
  </w:style>
  <w:style w:type="paragraph" w:customStyle="1" w:styleId="StandardWeb1">
    <w:name w:val="Standard (Web)1"/>
    <w:basedOn w:val="Standard"/>
    <w:rsid w:val="00F85093"/>
    <w:rPr>
      <w:rFonts w:ascii="Verdana" w:hAnsi="Verdana"/>
      <w:sz w:val="22"/>
      <w:szCs w:val="22"/>
    </w:rPr>
  </w:style>
  <w:style w:type="character" w:customStyle="1" w:styleId="klein1">
    <w:name w:val="klein1"/>
    <w:rsid w:val="00843169"/>
    <w:rPr>
      <w:rFonts w:ascii="Arial" w:hAnsi="Arial" w:cs="Arial" w:hint="default"/>
      <w:strike w:val="0"/>
      <w:dstrike w:val="0"/>
      <w:color w:val="000000"/>
      <w:sz w:val="22"/>
      <w:szCs w:val="22"/>
      <w:u w:val="none"/>
      <w:effect w:val="none"/>
    </w:rPr>
  </w:style>
  <w:style w:type="character" w:styleId="Fett">
    <w:name w:val="Strong"/>
    <w:uiPriority w:val="22"/>
    <w:qFormat/>
    <w:rsid w:val="00076528"/>
    <w:rPr>
      <w:b/>
      <w:bCs/>
    </w:rPr>
  </w:style>
  <w:style w:type="character" w:styleId="Hervorhebung">
    <w:name w:val="Emphasis"/>
    <w:uiPriority w:val="20"/>
    <w:qFormat/>
    <w:rsid w:val="00673922"/>
    <w:rPr>
      <w:i/>
      <w:iCs/>
    </w:rPr>
  </w:style>
  <w:style w:type="character" w:styleId="BesuchterHyperlink">
    <w:name w:val="FollowedHyperlink"/>
    <w:rsid w:val="00915FEE"/>
    <w:rPr>
      <w:color w:val="800080"/>
      <w:u w:val="single"/>
    </w:rPr>
  </w:style>
  <w:style w:type="paragraph" w:styleId="Liste2">
    <w:name w:val="List 2"/>
    <w:basedOn w:val="Standard"/>
    <w:semiHidden/>
    <w:rsid w:val="00772E24"/>
    <w:pPr>
      <w:ind w:left="566" w:hanging="283"/>
    </w:pPr>
  </w:style>
  <w:style w:type="paragraph" w:styleId="Listenabsatz">
    <w:name w:val="List Paragraph"/>
    <w:basedOn w:val="Standard"/>
    <w:uiPriority w:val="34"/>
    <w:qFormat/>
    <w:rsid w:val="00462256"/>
    <w:pPr>
      <w:ind w:left="720"/>
      <w:contextualSpacing/>
    </w:pPr>
  </w:style>
  <w:style w:type="character" w:customStyle="1" w:styleId="object">
    <w:name w:val="object"/>
    <w:basedOn w:val="Absatz-Standardschriftart"/>
    <w:rsid w:val="00DA4DC4"/>
  </w:style>
  <w:style w:type="paragraph" w:styleId="KeinLeerraum">
    <w:name w:val="No Spacing"/>
    <w:uiPriority w:val="1"/>
    <w:qFormat/>
    <w:rsid w:val="00AA4FD7"/>
    <w:rPr>
      <w:rFonts w:ascii="Calibri" w:hAnsi="Calibri"/>
      <w:sz w:val="22"/>
      <w:szCs w:val="22"/>
    </w:rPr>
  </w:style>
  <w:style w:type="character" w:customStyle="1" w:styleId="apple-converted-space">
    <w:name w:val="apple-converted-space"/>
    <w:basedOn w:val="Absatz-Standardschriftart"/>
    <w:rsid w:val="00F43D94"/>
  </w:style>
  <w:style w:type="character" w:customStyle="1" w:styleId="fotograph">
    <w:name w:val="fotograph"/>
    <w:basedOn w:val="Absatz-Standardschriftart"/>
    <w:rsid w:val="00A834CB"/>
  </w:style>
  <w:style w:type="paragraph" w:customStyle="1" w:styleId="artikelsubheadline">
    <w:name w:val="artikelsubheadline"/>
    <w:basedOn w:val="Standard"/>
    <w:rsid w:val="00A834CB"/>
    <w:pPr>
      <w:spacing w:before="100" w:beforeAutospacing="1" w:after="100" w:afterAutospacing="1"/>
    </w:pPr>
  </w:style>
  <w:style w:type="paragraph" w:customStyle="1" w:styleId="Standard1">
    <w:name w:val="Standard1"/>
    <w:basedOn w:val="Standard"/>
    <w:rsid w:val="0083694D"/>
    <w:pPr>
      <w:spacing w:line="360" w:lineRule="auto"/>
      <w:jc w:val="both"/>
    </w:pPr>
    <w:rPr>
      <w:rFonts w:ascii="Arial" w:eastAsiaTheme="minorHAnsi" w:hAnsi="Arial" w:cs="Arial"/>
      <w:sz w:val="22"/>
      <w:szCs w:val="22"/>
    </w:rPr>
  </w:style>
  <w:style w:type="character" w:customStyle="1" w:styleId="TextZchn">
    <w:name w:val="Text Zchn"/>
    <w:basedOn w:val="Absatz-Standardschriftart"/>
    <w:link w:val="Text"/>
    <w:locked/>
    <w:rsid w:val="005E4B52"/>
    <w:rPr>
      <w:rFonts w:ascii="Myriad Pro" w:hAnsi="Myriad Pro"/>
    </w:rPr>
  </w:style>
  <w:style w:type="paragraph" w:customStyle="1" w:styleId="Text">
    <w:name w:val="Text"/>
    <w:basedOn w:val="Standard"/>
    <w:link w:val="TextZchn"/>
    <w:rsid w:val="005E4B52"/>
    <w:pPr>
      <w:tabs>
        <w:tab w:val="left" w:pos="720"/>
      </w:tabs>
      <w:overflowPunct w:val="0"/>
      <w:autoSpaceDE w:val="0"/>
      <w:autoSpaceDN w:val="0"/>
      <w:adjustRightInd w:val="0"/>
      <w:spacing w:after="120"/>
      <w:jc w:val="both"/>
    </w:pPr>
    <w:rPr>
      <w:rFonts w:ascii="Myriad Pro" w:hAnsi="Myriad Pro"/>
      <w:sz w:val="20"/>
      <w:szCs w:val="20"/>
    </w:rPr>
  </w:style>
  <w:style w:type="character" w:customStyle="1" w:styleId="berschrift3Zchn">
    <w:name w:val="Überschrift 3 Zchn"/>
    <w:basedOn w:val="Absatz-Standardschriftart"/>
    <w:link w:val="berschrift3"/>
    <w:uiPriority w:val="9"/>
    <w:semiHidden/>
    <w:rsid w:val="0044729A"/>
    <w:rPr>
      <w:rFonts w:asciiTheme="majorHAnsi" w:eastAsiaTheme="majorEastAsia" w:hAnsiTheme="majorHAnsi" w:cstheme="majorBidi"/>
      <w:b/>
      <w:bCs/>
      <w:color w:val="4F81BD" w:themeColor="accent1"/>
      <w:sz w:val="24"/>
      <w:szCs w:val="24"/>
    </w:rPr>
  </w:style>
  <w:style w:type="character" w:customStyle="1" w:styleId="FuzeileZchn">
    <w:name w:val="Fußzeile Zchn"/>
    <w:basedOn w:val="Absatz-Standardschriftart"/>
    <w:link w:val="Fuzeile"/>
    <w:uiPriority w:val="99"/>
    <w:rsid w:val="00B870CE"/>
    <w:rPr>
      <w:sz w:val="24"/>
      <w:szCs w:val="24"/>
    </w:rPr>
  </w:style>
  <w:style w:type="character" w:customStyle="1" w:styleId="KopfzeileZchn">
    <w:name w:val="Kopfzeile Zchn"/>
    <w:basedOn w:val="Absatz-Standardschriftart"/>
    <w:link w:val="Kopfzeile"/>
    <w:uiPriority w:val="99"/>
    <w:rsid w:val="00B870CE"/>
    <w:rPr>
      <w:sz w:val="24"/>
      <w:szCs w:val="24"/>
    </w:rPr>
  </w:style>
  <w:style w:type="character" w:customStyle="1" w:styleId="berschrift1Zchn">
    <w:name w:val="Überschrift 1 Zchn"/>
    <w:basedOn w:val="Absatz-Standardschriftart"/>
    <w:link w:val="berschrift1"/>
    <w:uiPriority w:val="9"/>
    <w:rsid w:val="006F535C"/>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6F535C"/>
    <w:pPr>
      <w:spacing w:line="276" w:lineRule="auto"/>
      <w:outlineLvl w:val="9"/>
    </w:pPr>
  </w:style>
  <w:style w:type="paragraph" w:styleId="Verzeichnis2">
    <w:name w:val="toc 2"/>
    <w:basedOn w:val="Standard"/>
    <w:next w:val="Standard"/>
    <w:autoRedefine/>
    <w:uiPriority w:val="39"/>
    <w:unhideWhenUsed/>
    <w:qFormat/>
    <w:rsid w:val="006F535C"/>
    <w:pPr>
      <w:spacing w:after="100"/>
      <w:ind w:left="240"/>
    </w:pPr>
  </w:style>
  <w:style w:type="paragraph" w:styleId="Verzeichnis1">
    <w:name w:val="toc 1"/>
    <w:basedOn w:val="Standard"/>
    <w:next w:val="Standard"/>
    <w:autoRedefine/>
    <w:uiPriority w:val="39"/>
    <w:semiHidden/>
    <w:unhideWhenUsed/>
    <w:qFormat/>
    <w:rsid w:val="006F535C"/>
    <w:pPr>
      <w:spacing w:after="100" w:line="276" w:lineRule="auto"/>
    </w:pPr>
    <w:rPr>
      <w:rFonts w:asciiTheme="minorHAnsi" w:eastAsiaTheme="minorEastAsia" w:hAnsiTheme="minorHAnsi" w:cstheme="minorBidi"/>
      <w:sz w:val="22"/>
      <w:szCs w:val="22"/>
    </w:rPr>
  </w:style>
  <w:style w:type="paragraph" w:styleId="Verzeichnis3">
    <w:name w:val="toc 3"/>
    <w:basedOn w:val="Standard"/>
    <w:next w:val="Standard"/>
    <w:autoRedefine/>
    <w:uiPriority w:val="39"/>
    <w:semiHidden/>
    <w:unhideWhenUsed/>
    <w:qFormat/>
    <w:rsid w:val="006F535C"/>
    <w:pPr>
      <w:spacing w:after="100" w:line="276" w:lineRule="auto"/>
      <w:ind w:left="440"/>
    </w:pPr>
    <w:rPr>
      <w:rFonts w:asciiTheme="minorHAnsi" w:eastAsiaTheme="minorEastAsia" w:hAnsiTheme="minorHAnsi" w:cstheme="minorBidi"/>
      <w:sz w:val="22"/>
      <w:szCs w:val="22"/>
    </w:rPr>
  </w:style>
  <w:style w:type="character" w:customStyle="1" w:styleId="lightbox">
    <w:name w:val="lightbox"/>
    <w:basedOn w:val="Absatz-Standardschriftart"/>
    <w:rsid w:val="00165B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uiPriority w:val="9"/>
    <w:qFormat/>
    <w:rsid w:val="006F53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FB177C"/>
    <w:pPr>
      <w:keepNext/>
      <w:jc w:val="center"/>
      <w:outlineLvl w:val="1"/>
    </w:pPr>
    <w:rPr>
      <w:b/>
      <w:bCs/>
      <w:sz w:val="52"/>
    </w:rPr>
  </w:style>
  <w:style w:type="paragraph" w:styleId="berschrift3">
    <w:name w:val="heading 3"/>
    <w:basedOn w:val="Standard"/>
    <w:next w:val="Standard"/>
    <w:link w:val="berschrift3Zchn"/>
    <w:uiPriority w:val="9"/>
    <w:semiHidden/>
    <w:unhideWhenUsed/>
    <w:qFormat/>
    <w:rsid w:val="0044729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qFormat/>
    <w:rsid w:val="00C1657E"/>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B306E"/>
    <w:pPr>
      <w:tabs>
        <w:tab w:val="center" w:pos="4536"/>
        <w:tab w:val="right" w:pos="9072"/>
      </w:tabs>
    </w:pPr>
  </w:style>
  <w:style w:type="paragraph" w:styleId="Fuzeile">
    <w:name w:val="footer"/>
    <w:basedOn w:val="Standard"/>
    <w:link w:val="FuzeileZchn"/>
    <w:uiPriority w:val="99"/>
    <w:rsid w:val="003B306E"/>
    <w:pPr>
      <w:tabs>
        <w:tab w:val="center" w:pos="4536"/>
        <w:tab w:val="right" w:pos="9072"/>
      </w:tabs>
    </w:pPr>
  </w:style>
  <w:style w:type="paragraph" w:styleId="Sprechblasentext">
    <w:name w:val="Balloon Text"/>
    <w:basedOn w:val="Standard"/>
    <w:semiHidden/>
    <w:rsid w:val="00647B6E"/>
    <w:rPr>
      <w:rFonts w:ascii="Tahoma" w:hAnsi="Tahoma" w:cs="Tahoma"/>
      <w:sz w:val="16"/>
      <w:szCs w:val="16"/>
    </w:rPr>
  </w:style>
  <w:style w:type="character" w:styleId="Hyperlink">
    <w:name w:val="Hyperlink"/>
    <w:uiPriority w:val="99"/>
    <w:rsid w:val="00975BBA"/>
    <w:rPr>
      <w:color w:val="0000FF"/>
      <w:u w:val="single"/>
    </w:rPr>
  </w:style>
  <w:style w:type="table" w:styleId="Tabellenraster">
    <w:name w:val="Table Grid"/>
    <w:basedOn w:val="NormaleTabelle"/>
    <w:rsid w:val="00072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82449"/>
  </w:style>
  <w:style w:type="paragraph" w:styleId="Textkrper2">
    <w:name w:val="Body Text 2"/>
    <w:basedOn w:val="Standard"/>
    <w:rsid w:val="0089439A"/>
    <w:rPr>
      <w:rFonts w:ascii="Arial" w:hAnsi="Arial" w:cs="Arial"/>
      <w:sz w:val="22"/>
    </w:rPr>
  </w:style>
  <w:style w:type="paragraph" w:styleId="StandardWeb">
    <w:name w:val="Normal (Web)"/>
    <w:basedOn w:val="Standard"/>
    <w:uiPriority w:val="99"/>
    <w:rsid w:val="00FB177C"/>
    <w:pPr>
      <w:spacing w:before="100" w:beforeAutospacing="1" w:after="100" w:afterAutospacing="1"/>
    </w:pPr>
    <w:rPr>
      <w:rFonts w:ascii="Arial" w:hAnsi="Arial" w:cs="Arial"/>
      <w:color w:val="000000"/>
      <w:sz w:val="20"/>
      <w:szCs w:val="20"/>
    </w:rPr>
  </w:style>
  <w:style w:type="paragraph" w:customStyle="1" w:styleId="Default">
    <w:name w:val="Default"/>
    <w:rsid w:val="00FB177C"/>
    <w:pPr>
      <w:autoSpaceDE w:val="0"/>
      <w:autoSpaceDN w:val="0"/>
      <w:adjustRightInd w:val="0"/>
    </w:pPr>
    <w:rPr>
      <w:rFonts w:ascii="Arial" w:hAnsi="Arial" w:cs="Arial"/>
      <w:color w:val="000000"/>
      <w:sz w:val="24"/>
      <w:szCs w:val="24"/>
    </w:rPr>
  </w:style>
  <w:style w:type="paragraph" w:styleId="Textkrper">
    <w:name w:val="Body Text"/>
    <w:basedOn w:val="Standard"/>
    <w:rsid w:val="00E20886"/>
    <w:pPr>
      <w:spacing w:after="120"/>
    </w:pPr>
  </w:style>
  <w:style w:type="paragraph" w:customStyle="1" w:styleId="StandardWeb1">
    <w:name w:val="Standard (Web)1"/>
    <w:basedOn w:val="Standard"/>
    <w:rsid w:val="00F85093"/>
    <w:rPr>
      <w:rFonts w:ascii="Verdana" w:hAnsi="Verdana"/>
      <w:sz w:val="22"/>
      <w:szCs w:val="22"/>
    </w:rPr>
  </w:style>
  <w:style w:type="character" w:customStyle="1" w:styleId="klein1">
    <w:name w:val="klein1"/>
    <w:rsid w:val="00843169"/>
    <w:rPr>
      <w:rFonts w:ascii="Arial" w:hAnsi="Arial" w:cs="Arial" w:hint="default"/>
      <w:strike w:val="0"/>
      <w:dstrike w:val="0"/>
      <w:color w:val="000000"/>
      <w:sz w:val="22"/>
      <w:szCs w:val="22"/>
      <w:u w:val="none"/>
      <w:effect w:val="none"/>
    </w:rPr>
  </w:style>
  <w:style w:type="character" w:styleId="Fett">
    <w:name w:val="Strong"/>
    <w:uiPriority w:val="22"/>
    <w:qFormat/>
    <w:rsid w:val="00076528"/>
    <w:rPr>
      <w:b/>
      <w:bCs/>
    </w:rPr>
  </w:style>
  <w:style w:type="character" w:styleId="Hervorhebung">
    <w:name w:val="Emphasis"/>
    <w:uiPriority w:val="20"/>
    <w:qFormat/>
    <w:rsid w:val="00673922"/>
    <w:rPr>
      <w:i/>
      <w:iCs/>
    </w:rPr>
  </w:style>
  <w:style w:type="character" w:styleId="BesuchterHyperlink">
    <w:name w:val="FollowedHyperlink"/>
    <w:rsid w:val="00915FEE"/>
    <w:rPr>
      <w:color w:val="800080"/>
      <w:u w:val="single"/>
    </w:rPr>
  </w:style>
  <w:style w:type="paragraph" w:styleId="Liste2">
    <w:name w:val="List 2"/>
    <w:basedOn w:val="Standard"/>
    <w:semiHidden/>
    <w:rsid w:val="00772E24"/>
    <w:pPr>
      <w:ind w:left="566" w:hanging="283"/>
    </w:pPr>
  </w:style>
  <w:style w:type="paragraph" w:styleId="Listenabsatz">
    <w:name w:val="List Paragraph"/>
    <w:basedOn w:val="Standard"/>
    <w:uiPriority w:val="34"/>
    <w:qFormat/>
    <w:rsid w:val="00462256"/>
    <w:pPr>
      <w:ind w:left="720"/>
      <w:contextualSpacing/>
    </w:pPr>
  </w:style>
  <w:style w:type="character" w:customStyle="1" w:styleId="object">
    <w:name w:val="object"/>
    <w:basedOn w:val="Absatz-Standardschriftart"/>
    <w:rsid w:val="00DA4DC4"/>
  </w:style>
  <w:style w:type="paragraph" w:styleId="KeinLeerraum">
    <w:name w:val="No Spacing"/>
    <w:uiPriority w:val="1"/>
    <w:qFormat/>
    <w:rsid w:val="00AA4FD7"/>
    <w:rPr>
      <w:rFonts w:ascii="Calibri" w:hAnsi="Calibri"/>
      <w:sz w:val="22"/>
      <w:szCs w:val="22"/>
    </w:rPr>
  </w:style>
  <w:style w:type="character" w:customStyle="1" w:styleId="apple-converted-space">
    <w:name w:val="apple-converted-space"/>
    <w:basedOn w:val="Absatz-Standardschriftart"/>
    <w:rsid w:val="00F43D94"/>
  </w:style>
  <w:style w:type="character" w:customStyle="1" w:styleId="fotograph">
    <w:name w:val="fotograph"/>
    <w:basedOn w:val="Absatz-Standardschriftart"/>
    <w:rsid w:val="00A834CB"/>
  </w:style>
  <w:style w:type="paragraph" w:customStyle="1" w:styleId="artikelsubheadline">
    <w:name w:val="artikelsubheadline"/>
    <w:basedOn w:val="Standard"/>
    <w:rsid w:val="00A834CB"/>
    <w:pPr>
      <w:spacing w:before="100" w:beforeAutospacing="1" w:after="100" w:afterAutospacing="1"/>
    </w:pPr>
  </w:style>
  <w:style w:type="paragraph" w:customStyle="1" w:styleId="Standard1">
    <w:name w:val="Standard1"/>
    <w:basedOn w:val="Standard"/>
    <w:rsid w:val="0083694D"/>
    <w:pPr>
      <w:spacing w:line="360" w:lineRule="auto"/>
      <w:jc w:val="both"/>
    </w:pPr>
    <w:rPr>
      <w:rFonts w:ascii="Arial" w:eastAsiaTheme="minorHAnsi" w:hAnsi="Arial" w:cs="Arial"/>
      <w:sz w:val="22"/>
      <w:szCs w:val="22"/>
    </w:rPr>
  </w:style>
  <w:style w:type="character" w:customStyle="1" w:styleId="TextZchn">
    <w:name w:val="Text Zchn"/>
    <w:basedOn w:val="Absatz-Standardschriftart"/>
    <w:link w:val="Text"/>
    <w:locked/>
    <w:rsid w:val="005E4B52"/>
    <w:rPr>
      <w:rFonts w:ascii="Myriad Pro" w:hAnsi="Myriad Pro"/>
    </w:rPr>
  </w:style>
  <w:style w:type="paragraph" w:customStyle="1" w:styleId="Text">
    <w:name w:val="Text"/>
    <w:basedOn w:val="Standard"/>
    <w:link w:val="TextZchn"/>
    <w:rsid w:val="005E4B52"/>
    <w:pPr>
      <w:tabs>
        <w:tab w:val="left" w:pos="720"/>
      </w:tabs>
      <w:overflowPunct w:val="0"/>
      <w:autoSpaceDE w:val="0"/>
      <w:autoSpaceDN w:val="0"/>
      <w:adjustRightInd w:val="0"/>
      <w:spacing w:after="120"/>
      <w:jc w:val="both"/>
    </w:pPr>
    <w:rPr>
      <w:rFonts w:ascii="Myriad Pro" w:hAnsi="Myriad Pro"/>
      <w:sz w:val="20"/>
      <w:szCs w:val="20"/>
    </w:rPr>
  </w:style>
  <w:style w:type="character" w:customStyle="1" w:styleId="berschrift3Zchn">
    <w:name w:val="Überschrift 3 Zchn"/>
    <w:basedOn w:val="Absatz-Standardschriftart"/>
    <w:link w:val="berschrift3"/>
    <w:uiPriority w:val="9"/>
    <w:semiHidden/>
    <w:rsid w:val="0044729A"/>
    <w:rPr>
      <w:rFonts w:asciiTheme="majorHAnsi" w:eastAsiaTheme="majorEastAsia" w:hAnsiTheme="majorHAnsi" w:cstheme="majorBidi"/>
      <w:b/>
      <w:bCs/>
      <w:color w:val="4F81BD" w:themeColor="accent1"/>
      <w:sz w:val="24"/>
      <w:szCs w:val="24"/>
    </w:rPr>
  </w:style>
  <w:style w:type="character" w:customStyle="1" w:styleId="FuzeileZchn">
    <w:name w:val="Fußzeile Zchn"/>
    <w:basedOn w:val="Absatz-Standardschriftart"/>
    <w:link w:val="Fuzeile"/>
    <w:uiPriority w:val="99"/>
    <w:rsid w:val="00B870CE"/>
    <w:rPr>
      <w:sz w:val="24"/>
      <w:szCs w:val="24"/>
    </w:rPr>
  </w:style>
  <w:style w:type="character" w:customStyle="1" w:styleId="KopfzeileZchn">
    <w:name w:val="Kopfzeile Zchn"/>
    <w:basedOn w:val="Absatz-Standardschriftart"/>
    <w:link w:val="Kopfzeile"/>
    <w:uiPriority w:val="99"/>
    <w:rsid w:val="00B870CE"/>
    <w:rPr>
      <w:sz w:val="24"/>
      <w:szCs w:val="24"/>
    </w:rPr>
  </w:style>
  <w:style w:type="character" w:customStyle="1" w:styleId="berschrift1Zchn">
    <w:name w:val="Überschrift 1 Zchn"/>
    <w:basedOn w:val="Absatz-Standardschriftart"/>
    <w:link w:val="berschrift1"/>
    <w:uiPriority w:val="9"/>
    <w:rsid w:val="006F535C"/>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6F535C"/>
    <w:pPr>
      <w:spacing w:line="276" w:lineRule="auto"/>
      <w:outlineLvl w:val="9"/>
    </w:pPr>
  </w:style>
  <w:style w:type="paragraph" w:styleId="Verzeichnis2">
    <w:name w:val="toc 2"/>
    <w:basedOn w:val="Standard"/>
    <w:next w:val="Standard"/>
    <w:autoRedefine/>
    <w:uiPriority w:val="39"/>
    <w:unhideWhenUsed/>
    <w:qFormat/>
    <w:rsid w:val="006F535C"/>
    <w:pPr>
      <w:spacing w:after="100"/>
      <w:ind w:left="240"/>
    </w:pPr>
  </w:style>
  <w:style w:type="paragraph" w:styleId="Verzeichnis1">
    <w:name w:val="toc 1"/>
    <w:basedOn w:val="Standard"/>
    <w:next w:val="Standard"/>
    <w:autoRedefine/>
    <w:uiPriority w:val="39"/>
    <w:semiHidden/>
    <w:unhideWhenUsed/>
    <w:qFormat/>
    <w:rsid w:val="006F535C"/>
    <w:pPr>
      <w:spacing w:after="100" w:line="276" w:lineRule="auto"/>
    </w:pPr>
    <w:rPr>
      <w:rFonts w:asciiTheme="minorHAnsi" w:eastAsiaTheme="minorEastAsia" w:hAnsiTheme="minorHAnsi" w:cstheme="minorBidi"/>
      <w:sz w:val="22"/>
      <w:szCs w:val="22"/>
    </w:rPr>
  </w:style>
  <w:style w:type="paragraph" w:styleId="Verzeichnis3">
    <w:name w:val="toc 3"/>
    <w:basedOn w:val="Standard"/>
    <w:next w:val="Standard"/>
    <w:autoRedefine/>
    <w:uiPriority w:val="39"/>
    <w:semiHidden/>
    <w:unhideWhenUsed/>
    <w:qFormat/>
    <w:rsid w:val="006F535C"/>
    <w:pPr>
      <w:spacing w:after="100" w:line="276" w:lineRule="auto"/>
      <w:ind w:left="440"/>
    </w:pPr>
    <w:rPr>
      <w:rFonts w:asciiTheme="minorHAnsi" w:eastAsiaTheme="minorEastAsia" w:hAnsiTheme="minorHAnsi" w:cstheme="minorBidi"/>
      <w:sz w:val="22"/>
      <w:szCs w:val="22"/>
    </w:rPr>
  </w:style>
  <w:style w:type="character" w:customStyle="1" w:styleId="lightbox">
    <w:name w:val="lightbox"/>
    <w:basedOn w:val="Absatz-Standardschriftart"/>
    <w:rsid w:val="00165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4210">
      <w:bodyDiv w:val="1"/>
      <w:marLeft w:val="0"/>
      <w:marRight w:val="0"/>
      <w:marTop w:val="0"/>
      <w:marBottom w:val="0"/>
      <w:divBdr>
        <w:top w:val="none" w:sz="0" w:space="0" w:color="auto"/>
        <w:left w:val="none" w:sz="0" w:space="0" w:color="auto"/>
        <w:bottom w:val="none" w:sz="0" w:space="0" w:color="auto"/>
        <w:right w:val="none" w:sz="0" w:space="0" w:color="auto"/>
      </w:divBdr>
    </w:div>
    <w:div w:id="29114296">
      <w:bodyDiv w:val="1"/>
      <w:marLeft w:val="0"/>
      <w:marRight w:val="0"/>
      <w:marTop w:val="0"/>
      <w:marBottom w:val="0"/>
      <w:divBdr>
        <w:top w:val="none" w:sz="0" w:space="0" w:color="auto"/>
        <w:left w:val="none" w:sz="0" w:space="0" w:color="auto"/>
        <w:bottom w:val="none" w:sz="0" w:space="0" w:color="auto"/>
        <w:right w:val="none" w:sz="0" w:space="0" w:color="auto"/>
      </w:divBdr>
      <w:divsChild>
        <w:div w:id="430128249">
          <w:marLeft w:val="0"/>
          <w:marRight w:val="0"/>
          <w:marTop w:val="0"/>
          <w:marBottom w:val="0"/>
          <w:divBdr>
            <w:top w:val="none" w:sz="0" w:space="0" w:color="auto"/>
            <w:left w:val="none" w:sz="0" w:space="0" w:color="auto"/>
            <w:bottom w:val="none" w:sz="0" w:space="0" w:color="auto"/>
            <w:right w:val="none" w:sz="0" w:space="0" w:color="auto"/>
          </w:divBdr>
          <w:divsChild>
            <w:div w:id="826703288">
              <w:marLeft w:val="0"/>
              <w:marRight w:val="0"/>
              <w:marTop w:val="0"/>
              <w:marBottom w:val="0"/>
              <w:divBdr>
                <w:top w:val="none" w:sz="0" w:space="0" w:color="auto"/>
                <w:left w:val="none" w:sz="0" w:space="0" w:color="auto"/>
                <w:bottom w:val="none" w:sz="0" w:space="0" w:color="auto"/>
                <w:right w:val="none" w:sz="0" w:space="0" w:color="auto"/>
              </w:divBdr>
              <w:divsChild>
                <w:div w:id="1508445460">
                  <w:marLeft w:val="0"/>
                  <w:marRight w:val="0"/>
                  <w:marTop w:val="0"/>
                  <w:marBottom w:val="0"/>
                  <w:divBdr>
                    <w:top w:val="none" w:sz="0" w:space="0" w:color="auto"/>
                    <w:left w:val="none" w:sz="0" w:space="0" w:color="auto"/>
                    <w:bottom w:val="none" w:sz="0" w:space="0" w:color="auto"/>
                    <w:right w:val="none" w:sz="0" w:space="0" w:color="auto"/>
                  </w:divBdr>
                  <w:divsChild>
                    <w:div w:id="1223103395">
                      <w:marLeft w:val="0"/>
                      <w:marRight w:val="0"/>
                      <w:marTop w:val="0"/>
                      <w:marBottom w:val="0"/>
                      <w:divBdr>
                        <w:top w:val="none" w:sz="0" w:space="0" w:color="auto"/>
                        <w:left w:val="none" w:sz="0" w:space="0" w:color="auto"/>
                        <w:bottom w:val="none" w:sz="0" w:space="0" w:color="auto"/>
                        <w:right w:val="none" w:sz="0" w:space="0" w:color="auto"/>
                      </w:divBdr>
                      <w:divsChild>
                        <w:div w:id="1292710827">
                          <w:marLeft w:val="0"/>
                          <w:marRight w:val="0"/>
                          <w:marTop w:val="0"/>
                          <w:marBottom w:val="0"/>
                          <w:divBdr>
                            <w:top w:val="none" w:sz="0" w:space="0" w:color="auto"/>
                            <w:left w:val="none" w:sz="0" w:space="0" w:color="auto"/>
                            <w:bottom w:val="none" w:sz="0" w:space="0" w:color="auto"/>
                            <w:right w:val="none" w:sz="0" w:space="0" w:color="auto"/>
                          </w:divBdr>
                          <w:divsChild>
                            <w:div w:id="1966038668">
                              <w:marLeft w:val="0"/>
                              <w:marRight w:val="0"/>
                              <w:marTop w:val="0"/>
                              <w:marBottom w:val="0"/>
                              <w:divBdr>
                                <w:top w:val="none" w:sz="0" w:space="0" w:color="auto"/>
                                <w:left w:val="none" w:sz="0" w:space="0" w:color="auto"/>
                                <w:bottom w:val="none" w:sz="0" w:space="0" w:color="auto"/>
                                <w:right w:val="none" w:sz="0" w:space="0" w:color="auto"/>
                              </w:divBdr>
                              <w:divsChild>
                                <w:div w:id="19717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62034">
      <w:bodyDiv w:val="1"/>
      <w:marLeft w:val="262"/>
      <w:marRight w:val="0"/>
      <w:marTop w:val="0"/>
      <w:marBottom w:val="0"/>
      <w:divBdr>
        <w:top w:val="none" w:sz="0" w:space="0" w:color="auto"/>
        <w:left w:val="none" w:sz="0" w:space="0" w:color="auto"/>
        <w:bottom w:val="none" w:sz="0" w:space="0" w:color="auto"/>
        <w:right w:val="none" w:sz="0" w:space="0" w:color="auto"/>
      </w:divBdr>
      <w:divsChild>
        <w:div w:id="1406299928">
          <w:marLeft w:val="0"/>
          <w:marRight w:val="0"/>
          <w:marTop w:val="0"/>
          <w:marBottom w:val="0"/>
          <w:divBdr>
            <w:top w:val="none" w:sz="0" w:space="0" w:color="auto"/>
            <w:left w:val="none" w:sz="0" w:space="0" w:color="auto"/>
            <w:bottom w:val="none" w:sz="0" w:space="0" w:color="auto"/>
            <w:right w:val="none" w:sz="0" w:space="0" w:color="auto"/>
          </w:divBdr>
        </w:div>
      </w:divsChild>
    </w:div>
    <w:div w:id="61879052">
      <w:bodyDiv w:val="1"/>
      <w:marLeft w:val="0"/>
      <w:marRight w:val="0"/>
      <w:marTop w:val="0"/>
      <w:marBottom w:val="0"/>
      <w:divBdr>
        <w:top w:val="none" w:sz="0" w:space="0" w:color="auto"/>
        <w:left w:val="none" w:sz="0" w:space="0" w:color="auto"/>
        <w:bottom w:val="none" w:sz="0" w:space="0" w:color="auto"/>
        <w:right w:val="none" w:sz="0" w:space="0" w:color="auto"/>
      </w:divBdr>
    </w:div>
    <w:div w:id="106586021">
      <w:bodyDiv w:val="1"/>
      <w:marLeft w:val="0"/>
      <w:marRight w:val="0"/>
      <w:marTop w:val="0"/>
      <w:marBottom w:val="0"/>
      <w:divBdr>
        <w:top w:val="none" w:sz="0" w:space="0" w:color="auto"/>
        <w:left w:val="none" w:sz="0" w:space="0" w:color="auto"/>
        <w:bottom w:val="none" w:sz="0" w:space="0" w:color="auto"/>
        <w:right w:val="none" w:sz="0" w:space="0" w:color="auto"/>
      </w:divBdr>
      <w:divsChild>
        <w:div w:id="861356130">
          <w:marLeft w:val="0"/>
          <w:marRight w:val="0"/>
          <w:marTop w:val="0"/>
          <w:marBottom w:val="0"/>
          <w:divBdr>
            <w:top w:val="none" w:sz="0" w:space="0" w:color="auto"/>
            <w:left w:val="none" w:sz="0" w:space="0" w:color="auto"/>
            <w:bottom w:val="none" w:sz="0" w:space="0" w:color="auto"/>
            <w:right w:val="none" w:sz="0" w:space="0" w:color="auto"/>
          </w:divBdr>
        </w:div>
      </w:divsChild>
    </w:div>
    <w:div w:id="133915567">
      <w:bodyDiv w:val="1"/>
      <w:marLeft w:val="300"/>
      <w:marRight w:val="0"/>
      <w:marTop w:val="0"/>
      <w:marBottom w:val="0"/>
      <w:divBdr>
        <w:top w:val="none" w:sz="0" w:space="0" w:color="auto"/>
        <w:left w:val="none" w:sz="0" w:space="0" w:color="auto"/>
        <w:bottom w:val="none" w:sz="0" w:space="0" w:color="auto"/>
        <w:right w:val="none" w:sz="0" w:space="0" w:color="auto"/>
      </w:divBdr>
      <w:divsChild>
        <w:div w:id="2121680964">
          <w:marLeft w:val="0"/>
          <w:marRight w:val="0"/>
          <w:marTop w:val="0"/>
          <w:marBottom w:val="0"/>
          <w:divBdr>
            <w:top w:val="none" w:sz="0" w:space="0" w:color="auto"/>
            <w:left w:val="none" w:sz="0" w:space="0" w:color="auto"/>
            <w:bottom w:val="none" w:sz="0" w:space="0" w:color="auto"/>
            <w:right w:val="none" w:sz="0" w:space="0" w:color="auto"/>
          </w:divBdr>
        </w:div>
      </w:divsChild>
    </w:div>
    <w:div w:id="209998865">
      <w:bodyDiv w:val="1"/>
      <w:marLeft w:val="0"/>
      <w:marRight w:val="0"/>
      <w:marTop w:val="0"/>
      <w:marBottom w:val="0"/>
      <w:divBdr>
        <w:top w:val="none" w:sz="0" w:space="0" w:color="auto"/>
        <w:left w:val="none" w:sz="0" w:space="0" w:color="auto"/>
        <w:bottom w:val="none" w:sz="0" w:space="0" w:color="auto"/>
        <w:right w:val="none" w:sz="0" w:space="0" w:color="auto"/>
      </w:divBdr>
    </w:div>
    <w:div w:id="288705701">
      <w:bodyDiv w:val="1"/>
      <w:marLeft w:val="300"/>
      <w:marRight w:val="0"/>
      <w:marTop w:val="0"/>
      <w:marBottom w:val="0"/>
      <w:divBdr>
        <w:top w:val="none" w:sz="0" w:space="0" w:color="auto"/>
        <w:left w:val="none" w:sz="0" w:space="0" w:color="auto"/>
        <w:bottom w:val="none" w:sz="0" w:space="0" w:color="auto"/>
        <w:right w:val="none" w:sz="0" w:space="0" w:color="auto"/>
      </w:divBdr>
      <w:divsChild>
        <w:div w:id="494611743">
          <w:marLeft w:val="0"/>
          <w:marRight w:val="0"/>
          <w:marTop w:val="0"/>
          <w:marBottom w:val="0"/>
          <w:divBdr>
            <w:top w:val="none" w:sz="0" w:space="0" w:color="auto"/>
            <w:left w:val="none" w:sz="0" w:space="0" w:color="auto"/>
            <w:bottom w:val="none" w:sz="0" w:space="0" w:color="auto"/>
            <w:right w:val="none" w:sz="0" w:space="0" w:color="auto"/>
          </w:divBdr>
        </w:div>
      </w:divsChild>
    </w:div>
    <w:div w:id="376782711">
      <w:bodyDiv w:val="1"/>
      <w:marLeft w:val="0"/>
      <w:marRight w:val="0"/>
      <w:marTop w:val="0"/>
      <w:marBottom w:val="0"/>
      <w:divBdr>
        <w:top w:val="none" w:sz="0" w:space="0" w:color="auto"/>
        <w:left w:val="none" w:sz="0" w:space="0" w:color="auto"/>
        <w:bottom w:val="none" w:sz="0" w:space="0" w:color="auto"/>
        <w:right w:val="none" w:sz="0" w:space="0" w:color="auto"/>
      </w:divBdr>
      <w:divsChild>
        <w:div w:id="274216944">
          <w:marLeft w:val="0"/>
          <w:marRight w:val="0"/>
          <w:marTop w:val="0"/>
          <w:marBottom w:val="0"/>
          <w:divBdr>
            <w:top w:val="none" w:sz="0" w:space="0" w:color="auto"/>
            <w:left w:val="none" w:sz="0" w:space="0" w:color="auto"/>
            <w:bottom w:val="none" w:sz="0" w:space="0" w:color="auto"/>
            <w:right w:val="none" w:sz="0" w:space="0" w:color="auto"/>
          </w:divBdr>
          <w:divsChild>
            <w:div w:id="1583220463">
              <w:marLeft w:val="0"/>
              <w:marRight w:val="0"/>
              <w:marTop w:val="0"/>
              <w:marBottom w:val="0"/>
              <w:divBdr>
                <w:top w:val="none" w:sz="0" w:space="0" w:color="auto"/>
                <w:left w:val="none" w:sz="0" w:space="0" w:color="auto"/>
                <w:bottom w:val="none" w:sz="0" w:space="0" w:color="auto"/>
                <w:right w:val="none" w:sz="0" w:space="0" w:color="auto"/>
              </w:divBdr>
              <w:divsChild>
                <w:div w:id="1080256358">
                  <w:marLeft w:val="0"/>
                  <w:marRight w:val="0"/>
                  <w:marTop w:val="0"/>
                  <w:marBottom w:val="0"/>
                  <w:divBdr>
                    <w:top w:val="none" w:sz="0" w:space="0" w:color="auto"/>
                    <w:left w:val="none" w:sz="0" w:space="0" w:color="auto"/>
                    <w:bottom w:val="none" w:sz="0" w:space="0" w:color="auto"/>
                    <w:right w:val="none" w:sz="0" w:space="0" w:color="auto"/>
                  </w:divBdr>
                  <w:divsChild>
                    <w:div w:id="1937519197">
                      <w:marLeft w:val="0"/>
                      <w:marRight w:val="0"/>
                      <w:marTop w:val="0"/>
                      <w:marBottom w:val="0"/>
                      <w:divBdr>
                        <w:top w:val="none" w:sz="0" w:space="0" w:color="auto"/>
                        <w:left w:val="none" w:sz="0" w:space="0" w:color="auto"/>
                        <w:bottom w:val="none" w:sz="0" w:space="0" w:color="auto"/>
                        <w:right w:val="none" w:sz="0" w:space="0" w:color="auto"/>
                      </w:divBdr>
                      <w:divsChild>
                        <w:div w:id="1241062482">
                          <w:marLeft w:val="0"/>
                          <w:marRight w:val="0"/>
                          <w:marTop w:val="0"/>
                          <w:marBottom w:val="375"/>
                          <w:divBdr>
                            <w:top w:val="none" w:sz="0" w:space="0" w:color="auto"/>
                            <w:left w:val="none" w:sz="0" w:space="0" w:color="auto"/>
                            <w:bottom w:val="none" w:sz="0" w:space="0" w:color="auto"/>
                            <w:right w:val="none" w:sz="0" w:space="0" w:color="auto"/>
                          </w:divBdr>
                          <w:divsChild>
                            <w:div w:id="18487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704030">
      <w:bodyDiv w:val="1"/>
      <w:marLeft w:val="0"/>
      <w:marRight w:val="0"/>
      <w:marTop w:val="0"/>
      <w:marBottom w:val="0"/>
      <w:divBdr>
        <w:top w:val="none" w:sz="0" w:space="0" w:color="auto"/>
        <w:left w:val="none" w:sz="0" w:space="0" w:color="auto"/>
        <w:bottom w:val="none" w:sz="0" w:space="0" w:color="auto"/>
        <w:right w:val="none" w:sz="0" w:space="0" w:color="auto"/>
      </w:divBdr>
      <w:divsChild>
        <w:div w:id="1649899312">
          <w:marLeft w:val="0"/>
          <w:marRight w:val="0"/>
          <w:marTop w:val="0"/>
          <w:marBottom w:val="0"/>
          <w:divBdr>
            <w:top w:val="none" w:sz="0" w:space="0" w:color="auto"/>
            <w:left w:val="none" w:sz="0" w:space="0" w:color="auto"/>
            <w:bottom w:val="none" w:sz="0" w:space="0" w:color="auto"/>
            <w:right w:val="none" w:sz="0" w:space="0" w:color="auto"/>
          </w:divBdr>
          <w:divsChild>
            <w:div w:id="1002900500">
              <w:marLeft w:val="0"/>
              <w:marRight w:val="0"/>
              <w:marTop w:val="0"/>
              <w:marBottom w:val="0"/>
              <w:divBdr>
                <w:top w:val="none" w:sz="0" w:space="0" w:color="auto"/>
                <w:left w:val="none" w:sz="0" w:space="0" w:color="auto"/>
                <w:bottom w:val="none" w:sz="0" w:space="0" w:color="auto"/>
                <w:right w:val="none" w:sz="0" w:space="0" w:color="auto"/>
              </w:divBdr>
              <w:divsChild>
                <w:div w:id="1983001478">
                  <w:marLeft w:val="0"/>
                  <w:marRight w:val="0"/>
                  <w:marTop w:val="0"/>
                  <w:marBottom w:val="0"/>
                  <w:divBdr>
                    <w:top w:val="none" w:sz="0" w:space="0" w:color="auto"/>
                    <w:left w:val="none" w:sz="0" w:space="0" w:color="auto"/>
                    <w:bottom w:val="none" w:sz="0" w:space="0" w:color="auto"/>
                    <w:right w:val="none" w:sz="0" w:space="0" w:color="auto"/>
                  </w:divBdr>
                  <w:divsChild>
                    <w:div w:id="723800059">
                      <w:marLeft w:val="0"/>
                      <w:marRight w:val="0"/>
                      <w:marTop w:val="0"/>
                      <w:marBottom w:val="0"/>
                      <w:divBdr>
                        <w:top w:val="none" w:sz="0" w:space="0" w:color="auto"/>
                        <w:left w:val="none" w:sz="0" w:space="0" w:color="auto"/>
                        <w:bottom w:val="none" w:sz="0" w:space="0" w:color="auto"/>
                        <w:right w:val="none" w:sz="0" w:space="0" w:color="auto"/>
                      </w:divBdr>
                      <w:divsChild>
                        <w:div w:id="1716930966">
                          <w:marLeft w:val="0"/>
                          <w:marRight w:val="0"/>
                          <w:marTop w:val="0"/>
                          <w:marBottom w:val="375"/>
                          <w:divBdr>
                            <w:top w:val="none" w:sz="0" w:space="0" w:color="auto"/>
                            <w:left w:val="none" w:sz="0" w:space="0" w:color="auto"/>
                            <w:bottom w:val="none" w:sz="0" w:space="0" w:color="auto"/>
                            <w:right w:val="none" w:sz="0" w:space="0" w:color="auto"/>
                          </w:divBdr>
                          <w:divsChild>
                            <w:div w:id="1420325105">
                              <w:marLeft w:val="0"/>
                              <w:marRight w:val="0"/>
                              <w:marTop w:val="0"/>
                              <w:marBottom w:val="0"/>
                              <w:divBdr>
                                <w:top w:val="none" w:sz="0" w:space="0" w:color="auto"/>
                                <w:left w:val="none" w:sz="0" w:space="0" w:color="auto"/>
                                <w:bottom w:val="none" w:sz="0" w:space="0" w:color="auto"/>
                                <w:right w:val="none" w:sz="0" w:space="0" w:color="auto"/>
                              </w:divBdr>
                              <w:divsChild>
                                <w:div w:id="1088233166">
                                  <w:marLeft w:val="0"/>
                                  <w:marRight w:val="0"/>
                                  <w:marTop w:val="0"/>
                                  <w:marBottom w:val="0"/>
                                  <w:divBdr>
                                    <w:top w:val="none" w:sz="0" w:space="0" w:color="auto"/>
                                    <w:left w:val="none" w:sz="0" w:space="0" w:color="auto"/>
                                    <w:bottom w:val="none" w:sz="0" w:space="0" w:color="auto"/>
                                    <w:right w:val="none" w:sz="0" w:space="0" w:color="auto"/>
                                  </w:divBdr>
                                  <w:divsChild>
                                    <w:div w:id="111070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180919">
      <w:bodyDiv w:val="1"/>
      <w:marLeft w:val="300"/>
      <w:marRight w:val="0"/>
      <w:marTop w:val="0"/>
      <w:marBottom w:val="0"/>
      <w:divBdr>
        <w:top w:val="none" w:sz="0" w:space="0" w:color="auto"/>
        <w:left w:val="none" w:sz="0" w:space="0" w:color="auto"/>
        <w:bottom w:val="none" w:sz="0" w:space="0" w:color="auto"/>
        <w:right w:val="none" w:sz="0" w:space="0" w:color="auto"/>
      </w:divBdr>
      <w:divsChild>
        <w:div w:id="1209418764">
          <w:marLeft w:val="0"/>
          <w:marRight w:val="0"/>
          <w:marTop w:val="0"/>
          <w:marBottom w:val="0"/>
          <w:divBdr>
            <w:top w:val="none" w:sz="0" w:space="0" w:color="auto"/>
            <w:left w:val="none" w:sz="0" w:space="0" w:color="auto"/>
            <w:bottom w:val="none" w:sz="0" w:space="0" w:color="auto"/>
            <w:right w:val="none" w:sz="0" w:space="0" w:color="auto"/>
          </w:divBdr>
        </w:div>
      </w:divsChild>
    </w:div>
    <w:div w:id="633144274">
      <w:bodyDiv w:val="1"/>
      <w:marLeft w:val="262"/>
      <w:marRight w:val="0"/>
      <w:marTop w:val="0"/>
      <w:marBottom w:val="0"/>
      <w:divBdr>
        <w:top w:val="none" w:sz="0" w:space="0" w:color="auto"/>
        <w:left w:val="none" w:sz="0" w:space="0" w:color="auto"/>
        <w:bottom w:val="none" w:sz="0" w:space="0" w:color="auto"/>
        <w:right w:val="none" w:sz="0" w:space="0" w:color="auto"/>
      </w:divBdr>
      <w:divsChild>
        <w:div w:id="799765643">
          <w:marLeft w:val="0"/>
          <w:marRight w:val="0"/>
          <w:marTop w:val="0"/>
          <w:marBottom w:val="0"/>
          <w:divBdr>
            <w:top w:val="none" w:sz="0" w:space="0" w:color="auto"/>
            <w:left w:val="none" w:sz="0" w:space="0" w:color="auto"/>
            <w:bottom w:val="none" w:sz="0" w:space="0" w:color="auto"/>
            <w:right w:val="none" w:sz="0" w:space="0" w:color="auto"/>
          </w:divBdr>
          <w:divsChild>
            <w:div w:id="13420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6457">
      <w:bodyDiv w:val="1"/>
      <w:marLeft w:val="0"/>
      <w:marRight w:val="0"/>
      <w:marTop w:val="0"/>
      <w:marBottom w:val="0"/>
      <w:divBdr>
        <w:top w:val="none" w:sz="0" w:space="0" w:color="auto"/>
        <w:left w:val="none" w:sz="0" w:space="0" w:color="auto"/>
        <w:bottom w:val="none" w:sz="0" w:space="0" w:color="auto"/>
        <w:right w:val="none" w:sz="0" w:space="0" w:color="auto"/>
      </w:divBdr>
      <w:divsChild>
        <w:div w:id="2050256281">
          <w:marLeft w:val="0"/>
          <w:marRight w:val="0"/>
          <w:marTop w:val="0"/>
          <w:marBottom w:val="0"/>
          <w:divBdr>
            <w:top w:val="none" w:sz="0" w:space="0" w:color="auto"/>
            <w:left w:val="none" w:sz="0" w:space="0" w:color="auto"/>
            <w:bottom w:val="none" w:sz="0" w:space="0" w:color="auto"/>
            <w:right w:val="none" w:sz="0" w:space="0" w:color="auto"/>
          </w:divBdr>
          <w:divsChild>
            <w:div w:id="1276596299">
              <w:marLeft w:val="0"/>
              <w:marRight w:val="0"/>
              <w:marTop w:val="0"/>
              <w:marBottom w:val="0"/>
              <w:divBdr>
                <w:top w:val="none" w:sz="0" w:space="0" w:color="auto"/>
                <w:left w:val="none" w:sz="0" w:space="0" w:color="auto"/>
                <w:bottom w:val="none" w:sz="0" w:space="0" w:color="auto"/>
                <w:right w:val="none" w:sz="0" w:space="0" w:color="auto"/>
              </w:divBdr>
              <w:divsChild>
                <w:div w:id="1769545695">
                  <w:marLeft w:val="0"/>
                  <w:marRight w:val="0"/>
                  <w:marTop w:val="0"/>
                  <w:marBottom w:val="0"/>
                  <w:divBdr>
                    <w:top w:val="none" w:sz="0" w:space="0" w:color="auto"/>
                    <w:left w:val="none" w:sz="0" w:space="0" w:color="auto"/>
                    <w:bottom w:val="none" w:sz="0" w:space="0" w:color="auto"/>
                    <w:right w:val="none" w:sz="0" w:space="0" w:color="auto"/>
                  </w:divBdr>
                  <w:divsChild>
                    <w:div w:id="2076315178">
                      <w:marLeft w:val="0"/>
                      <w:marRight w:val="0"/>
                      <w:marTop w:val="0"/>
                      <w:marBottom w:val="0"/>
                      <w:divBdr>
                        <w:top w:val="none" w:sz="0" w:space="0" w:color="auto"/>
                        <w:left w:val="none" w:sz="0" w:space="0" w:color="auto"/>
                        <w:bottom w:val="none" w:sz="0" w:space="0" w:color="auto"/>
                        <w:right w:val="none" w:sz="0" w:space="0" w:color="auto"/>
                      </w:divBdr>
                      <w:divsChild>
                        <w:div w:id="1982995174">
                          <w:marLeft w:val="0"/>
                          <w:marRight w:val="0"/>
                          <w:marTop w:val="0"/>
                          <w:marBottom w:val="375"/>
                          <w:divBdr>
                            <w:top w:val="none" w:sz="0" w:space="0" w:color="auto"/>
                            <w:left w:val="none" w:sz="0" w:space="0" w:color="auto"/>
                            <w:bottom w:val="none" w:sz="0" w:space="0" w:color="auto"/>
                            <w:right w:val="none" w:sz="0" w:space="0" w:color="auto"/>
                          </w:divBdr>
                          <w:divsChild>
                            <w:div w:id="484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959828">
      <w:bodyDiv w:val="1"/>
      <w:marLeft w:val="0"/>
      <w:marRight w:val="0"/>
      <w:marTop w:val="0"/>
      <w:marBottom w:val="0"/>
      <w:divBdr>
        <w:top w:val="none" w:sz="0" w:space="0" w:color="auto"/>
        <w:left w:val="none" w:sz="0" w:space="0" w:color="auto"/>
        <w:bottom w:val="none" w:sz="0" w:space="0" w:color="auto"/>
        <w:right w:val="none" w:sz="0" w:space="0" w:color="auto"/>
      </w:divBdr>
    </w:div>
    <w:div w:id="841965647">
      <w:bodyDiv w:val="1"/>
      <w:marLeft w:val="0"/>
      <w:marRight w:val="0"/>
      <w:marTop w:val="0"/>
      <w:marBottom w:val="0"/>
      <w:divBdr>
        <w:top w:val="none" w:sz="0" w:space="0" w:color="auto"/>
        <w:left w:val="none" w:sz="0" w:space="0" w:color="auto"/>
        <w:bottom w:val="none" w:sz="0" w:space="0" w:color="auto"/>
        <w:right w:val="none" w:sz="0" w:space="0" w:color="auto"/>
      </w:divBdr>
      <w:divsChild>
        <w:div w:id="472412623">
          <w:marLeft w:val="0"/>
          <w:marRight w:val="0"/>
          <w:marTop w:val="0"/>
          <w:marBottom w:val="0"/>
          <w:divBdr>
            <w:top w:val="none" w:sz="0" w:space="0" w:color="auto"/>
            <w:left w:val="none" w:sz="0" w:space="0" w:color="auto"/>
            <w:bottom w:val="none" w:sz="0" w:space="0" w:color="auto"/>
            <w:right w:val="none" w:sz="0" w:space="0" w:color="auto"/>
          </w:divBdr>
        </w:div>
      </w:divsChild>
    </w:div>
    <w:div w:id="858084037">
      <w:bodyDiv w:val="1"/>
      <w:marLeft w:val="0"/>
      <w:marRight w:val="0"/>
      <w:marTop w:val="0"/>
      <w:marBottom w:val="0"/>
      <w:divBdr>
        <w:top w:val="none" w:sz="0" w:space="0" w:color="auto"/>
        <w:left w:val="none" w:sz="0" w:space="0" w:color="auto"/>
        <w:bottom w:val="none" w:sz="0" w:space="0" w:color="auto"/>
        <w:right w:val="none" w:sz="0" w:space="0" w:color="auto"/>
      </w:divBdr>
    </w:div>
    <w:div w:id="874542661">
      <w:bodyDiv w:val="1"/>
      <w:marLeft w:val="262"/>
      <w:marRight w:val="0"/>
      <w:marTop w:val="0"/>
      <w:marBottom w:val="0"/>
      <w:divBdr>
        <w:top w:val="none" w:sz="0" w:space="0" w:color="auto"/>
        <w:left w:val="none" w:sz="0" w:space="0" w:color="auto"/>
        <w:bottom w:val="none" w:sz="0" w:space="0" w:color="auto"/>
        <w:right w:val="none" w:sz="0" w:space="0" w:color="auto"/>
      </w:divBdr>
      <w:divsChild>
        <w:div w:id="1606888739">
          <w:marLeft w:val="0"/>
          <w:marRight w:val="0"/>
          <w:marTop w:val="0"/>
          <w:marBottom w:val="0"/>
          <w:divBdr>
            <w:top w:val="none" w:sz="0" w:space="0" w:color="auto"/>
            <w:left w:val="none" w:sz="0" w:space="0" w:color="auto"/>
            <w:bottom w:val="none" w:sz="0" w:space="0" w:color="auto"/>
            <w:right w:val="none" w:sz="0" w:space="0" w:color="auto"/>
          </w:divBdr>
          <w:divsChild>
            <w:div w:id="7715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97182">
      <w:bodyDiv w:val="1"/>
      <w:marLeft w:val="0"/>
      <w:marRight w:val="0"/>
      <w:marTop w:val="0"/>
      <w:marBottom w:val="0"/>
      <w:divBdr>
        <w:top w:val="none" w:sz="0" w:space="0" w:color="auto"/>
        <w:left w:val="none" w:sz="0" w:space="0" w:color="auto"/>
        <w:bottom w:val="none" w:sz="0" w:space="0" w:color="auto"/>
        <w:right w:val="none" w:sz="0" w:space="0" w:color="auto"/>
      </w:divBdr>
      <w:divsChild>
        <w:div w:id="1790781838">
          <w:marLeft w:val="0"/>
          <w:marRight w:val="0"/>
          <w:marTop w:val="0"/>
          <w:marBottom w:val="0"/>
          <w:divBdr>
            <w:top w:val="none" w:sz="0" w:space="0" w:color="auto"/>
            <w:left w:val="none" w:sz="0" w:space="0" w:color="auto"/>
            <w:bottom w:val="none" w:sz="0" w:space="0" w:color="auto"/>
            <w:right w:val="none" w:sz="0" w:space="0" w:color="auto"/>
          </w:divBdr>
        </w:div>
      </w:divsChild>
    </w:div>
    <w:div w:id="1112285588">
      <w:bodyDiv w:val="1"/>
      <w:marLeft w:val="0"/>
      <w:marRight w:val="0"/>
      <w:marTop w:val="0"/>
      <w:marBottom w:val="0"/>
      <w:divBdr>
        <w:top w:val="none" w:sz="0" w:space="0" w:color="auto"/>
        <w:left w:val="none" w:sz="0" w:space="0" w:color="auto"/>
        <w:bottom w:val="none" w:sz="0" w:space="0" w:color="auto"/>
        <w:right w:val="none" w:sz="0" w:space="0" w:color="auto"/>
      </w:divBdr>
    </w:div>
    <w:div w:id="1120996140">
      <w:bodyDiv w:val="1"/>
      <w:marLeft w:val="300"/>
      <w:marRight w:val="0"/>
      <w:marTop w:val="0"/>
      <w:marBottom w:val="0"/>
      <w:divBdr>
        <w:top w:val="none" w:sz="0" w:space="0" w:color="auto"/>
        <w:left w:val="none" w:sz="0" w:space="0" w:color="auto"/>
        <w:bottom w:val="none" w:sz="0" w:space="0" w:color="auto"/>
        <w:right w:val="none" w:sz="0" w:space="0" w:color="auto"/>
      </w:divBdr>
      <w:divsChild>
        <w:div w:id="1868905378">
          <w:marLeft w:val="0"/>
          <w:marRight w:val="0"/>
          <w:marTop w:val="0"/>
          <w:marBottom w:val="0"/>
          <w:divBdr>
            <w:top w:val="none" w:sz="0" w:space="0" w:color="auto"/>
            <w:left w:val="none" w:sz="0" w:space="0" w:color="auto"/>
            <w:bottom w:val="none" w:sz="0" w:space="0" w:color="auto"/>
            <w:right w:val="none" w:sz="0" w:space="0" w:color="auto"/>
          </w:divBdr>
        </w:div>
      </w:divsChild>
    </w:div>
    <w:div w:id="1178545964">
      <w:bodyDiv w:val="1"/>
      <w:marLeft w:val="0"/>
      <w:marRight w:val="0"/>
      <w:marTop w:val="0"/>
      <w:marBottom w:val="0"/>
      <w:divBdr>
        <w:top w:val="none" w:sz="0" w:space="0" w:color="auto"/>
        <w:left w:val="none" w:sz="0" w:space="0" w:color="auto"/>
        <w:bottom w:val="none" w:sz="0" w:space="0" w:color="auto"/>
        <w:right w:val="none" w:sz="0" w:space="0" w:color="auto"/>
      </w:divBdr>
      <w:divsChild>
        <w:div w:id="1598362717">
          <w:marLeft w:val="0"/>
          <w:marRight w:val="0"/>
          <w:marTop w:val="0"/>
          <w:marBottom w:val="0"/>
          <w:divBdr>
            <w:top w:val="none" w:sz="0" w:space="0" w:color="auto"/>
            <w:left w:val="none" w:sz="0" w:space="0" w:color="auto"/>
            <w:bottom w:val="none" w:sz="0" w:space="0" w:color="auto"/>
            <w:right w:val="none" w:sz="0" w:space="0" w:color="auto"/>
          </w:divBdr>
        </w:div>
      </w:divsChild>
    </w:div>
    <w:div w:id="1259169349">
      <w:bodyDiv w:val="1"/>
      <w:marLeft w:val="0"/>
      <w:marRight w:val="0"/>
      <w:marTop w:val="0"/>
      <w:marBottom w:val="0"/>
      <w:divBdr>
        <w:top w:val="none" w:sz="0" w:space="0" w:color="auto"/>
        <w:left w:val="none" w:sz="0" w:space="0" w:color="auto"/>
        <w:bottom w:val="none" w:sz="0" w:space="0" w:color="auto"/>
        <w:right w:val="none" w:sz="0" w:space="0" w:color="auto"/>
      </w:divBdr>
      <w:divsChild>
        <w:div w:id="1675188022">
          <w:marLeft w:val="0"/>
          <w:marRight w:val="0"/>
          <w:marTop w:val="0"/>
          <w:marBottom w:val="0"/>
          <w:divBdr>
            <w:top w:val="none" w:sz="0" w:space="0" w:color="auto"/>
            <w:left w:val="none" w:sz="0" w:space="0" w:color="auto"/>
            <w:bottom w:val="none" w:sz="0" w:space="0" w:color="auto"/>
            <w:right w:val="none" w:sz="0" w:space="0" w:color="auto"/>
          </w:divBdr>
          <w:divsChild>
            <w:div w:id="1865363518">
              <w:marLeft w:val="0"/>
              <w:marRight w:val="0"/>
              <w:marTop w:val="0"/>
              <w:marBottom w:val="0"/>
              <w:divBdr>
                <w:top w:val="none" w:sz="0" w:space="0" w:color="auto"/>
                <w:left w:val="none" w:sz="0" w:space="0" w:color="auto"/>
                <w:bottom w:val="none" w:sz="0" w:space="0" w:color="auto"/>
                <w:right w:val="none" w:sz="0" w:space="0" w:color="auto"/>
              </w:divBdr>
              <w:divsChild>
                <w:div w:id="1443915085">
                  <w:marLeft w:val="0"/>
                  <w:marRight w:val="0"/>
                  <w:marTop w:val="0"/>
                  <w:marBottom w:val="0"/>
                  <w:divBdr>
                    <w:top w:val="none" w:sz="0" w:space="0" w:color="auto"/>
                    <w:left w:val="none" w:sz="0" w:space="0" w:color="auto"/>
                    <w:bottom w:val="none" w:sz="0" w:space="0" w:color="auto"/>
                    <w:right w:val="none" w:sz="0" w:space="0" w:color="auto"/>
                  </w:divBdr>
                  <w:divsChild>
                    <w:div w:id="637493684">
                      <w:marLeft w:val="0"/>
                      <w:marRight w:val="0"/>
                      <w:marTop w:val="0"/>
                      <w:marBottom w:val="0"/>
                      <w:divBdr>
                        <w:top w:val="none" w:sz="0" w:space="0" w:color="auto"/>
                        <w:left w:val="none" w:sz="0" w:space="0" w:color="auto"/>
                        <w:bottom w:val="none" w:sz="0" w:space="0" w:color="auto"/>
                        <w:right w:val="none" w:sz="0" w:space="0" w:color="auto"/>
                      </w:divBdr>
                      <w:divsChild>
                        <w:div w:id="1561554532">
                          <w:marLeft w:val="0"/>
                          <w:marRight w:val="0"/>
                          <w:marTop w:val="0"/>
                          <w:marBottom w:val="375"/>
                          <w:divBdr>
                            <w:top w:val="none" w:sz="0" w:space="0" w:color="auto"/>
                            <w:left w:val="none" w:sz="0" w:space="0" w:color="auto"/>
                            <w:bottom w:val="none" w:sz="0" w:space="0" w:color="auto"/>
                            <w:right w:val="none" w:sz="0" w:space="0" w:color="auto"/>
                          </w:divBdr>
                          <w:divsChild>
                            <w:div w:id="48486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740442">
      <w:bodyDiv w:val="1"/>
      <w:marLeft w:val="0"/>
      <w:marRight w:val="0"/>
      <w:marTop w:val="0"/>
      <w:marBottom w:val="0"/>
      <w:divBdr>
        <w:top w:val="none" w:sz="0" w:space="0" w:color="auto"/>
        <w:left w:val="none" w:sz="0" w:space="0" w:color="auto"/>
        <w:bottom w:val="none" w:sz="0" w:space="0" w:color="auto"/>
        <w:right w:val="none" w:sz="0" w:space="0" w:color="auto"/>
      </w:divBdr>
      <w:divsChild>
        <w:div w:id="41637910">
          <w:marLeft w:val="0"/>
          <w:marRight w:val="0"/>
          <w:marTop w:val="0"/>
          <w:marBottom w:val="0"/>
          <w:divBdr>
            <w:top w:val="none" w:sz="0" w:space="0" w:color="auto"/>
            <w:left w:val="none" w:sz="0" w:space="0" w:color="auto"/>
            <w:bottom w:val="none" w:sz="0" w:space="0" w:color="auto"/>
            <w:right w:val="none" w:sz="0" w:space="0" w:color="auto"/>
          </w:divBdr>
          <w:divsChild>
            <w:div w:id="869151377">
              <w:marLeft w:val="0"/>
              <w:marRight w:val="0"/>
              <w:marTop w:val="0"/>
              <w:marBottom w:val="0"/>
              <w:divBdr>
                <w:top w:val="none" w:sz="0" w:space="0" w:color="auto"/>
                <w:left w:val="none" w:sz="0" w:space="0" w:color="auto"/>
                <w:bottom w:val="none" w:sz="0" w:space="0" w:color="auto"/>
                <w:right w:val="none" w:sz="0" w:space="0" w:color="auto"/>
              </w:divBdr>
              <w:divsChild>
                <w:div w:id="37702219">
                  <w:marLeft w:val="0"/>
                  <w:marRight w:val="0"/>
                  <w:marTop w:val="0"/>
                  <w:marBottom w:val="0"/>
                  <w:divBdr>
                    <w:top w:val="none" w:sz="0" w:space="0" w:color="auto"/>
                    <w:left w:val="none" w:sz="0" w:space="0" w:color="auto"/>
                    <w:bottom w:val="none" w:sz="0" w:space="0" w:color="auto"/>
                    <w:right w:val="none" w:sz="0" w:space="0" w:color="auto"/>
                  </w:divBdr>
                  <w:divsChild>
                    <w:div w:id="1259097464">
                      <w:marLeft w:val="0"/>
                      <w:marRight w:val="0"/>
                      <w:marTop w:val="0"/>
                      <w:marBottom w:val="0"/>
                      <w:divBdr>
                        <w:top w:val="none" w:sz="0" w:space="0" w:color="auto"/>
                        <w:left w:val="none" w:sz="0" w:space="0" w:color="auto"/>
                        <w:bottom w:val="none" w:sz="0" w:space="0" w:color="auto"/>
                        <w:right w:val="none" w:sz="0" w:space="0" w:color="auto"/>
                      </w:divBdr>
                      <w:divsChild>
                        <w:div w:id="1996640137">
                          <w:marLeft w:val="0"/>
                          <w:marRight w:val="0"/>
                          <w:marTop w:val="0"/>
                          <w:marBottom w:val="0"/>
                          <w:divBdr>
                            <w:top w:val="none" w:sz="0" w:space="0" w:color="auto"/>
                            <w:left w:val="none" w:sz="0" w:space="0" w:color="auto"/>
                            <w:bottom w:val="none" w:sz="0" w:space="0" w:color="auto"/>
                            <w:right w:val="none" w:sz="0" w:space="0" w:color="auto"/>
                          </w:divBdr>
                          <w:divsChild>
                            <w:div w:id="429860311">
                              <w:marLeft w:val="0"/>
                              <w:marRight w:val="0"/>
                              <w:marTop w:val="0"/>
                              <w:marBottom w:val="0"/>
                              <w:divBdr>
                                <w:top w:val="none" w:sz="0" w:space="0" w:color="auto"/>
                                <w:left w:val="none" w:sz="0" w:space="0" w:color="auto"/>
                                <w:bottom w:val="none" w:sz="0" w:space="0" w:color="auto"/>
                                <w:right w:val="none" w:sz="0" w:space="0" w:color="auto"/>
                              </w:divBdr>
                            </w:div>
                            <w:div w:id="1678536269">
                              <w:marLeft w:val="0"/>
                              <w:marRight w:val="0"/>
                              <w:marTop w:val="0"/>
                              <w:marBottom w:val="0"/>
                              <w:divBdr>
                                <w:top w:val="none" w:sz="0" w:space="0" w:color="auto"/>
                                <w:left w:val="none" w:sz="0" w:space="0" w:color="auto"/>
                                <w:bottom w:val="none" w:sz="0" w:space="0" w:color="auto"/>
                                <w:right w:val="none" w:sz="0" w:space="0" w:color="auto"/>
                              </w:divBdr>
                              <w:divsChild>
                                <w:div w:id="902258309">
                                  <w:marLeft w:val="0"/>
                                  <w:marRight w:val="0"/>
                                  <w:marTop w:val="0"/>
                                  <w:marBottom w:val="0"/>
                                  <w:divBdr>
                                    <w:top w:val="none" w:sz="0" w:space="0" w:color="auto"/>
                                    <w:left w:val="none" w:sz="0" w:space="0" w:color="auto"/>
                                    <w:bottom w:val="none" w:sz="0" w:space="0" w:color="auto"/>
                                    <w:right w:val="none" w:sz="0" w:space="0" w:color="auto"/>
                                  </w:divBdr>
                                  <w:divsChild>
                                    <w:div w:id="494340180">
                                      <w:marLeft w:val="0"/>
                                      <w:marRight w:val="0"/>
                                      <w:marTop w:val="0"/>
                                      <w:marBottom w:val="0"/>
                                      <w:divBdr>
                                        <w:top w:val="none" w:sz="0" w:space="0" w:color="auto"/>
                                        <w:left w:val="none" w:sz="0" w:space="0" w:color="auto"/>
                                        <w:bottom w:val="none" w:sz="0" w:space="0" w:color="auto"/>
                                        <w:right w:val="none" w:sz="0" w:space="0" w:color="auto"/>
                                      </w:divBdr>
                                      <w:divsChild>
                                        <w:div w:id="913974816">
                                          <w:marLeft w:val="0"/>
                                          <w:marRight w:val="0"/>
                                          <w:marTop w:val="0"/>
                                          <w:marBottom w:val="0"/>
                                          <w:divBdr>
                                            <w:top w:val="none" w:sz="0" w:space="0" w:color="auto"/>
                                            <w:left w:val="none" w:sz="0" w:space="0" w:color="auto"/>
                                            <w:bottom w:val="none" w:sz="0" w:space="0" w:color="auto"/>
                                            <w:right w:val="none" w:sz="0" w:space="0" w:color="auto"/>
                                          </w:divBdr>
                                        </w:div>
                                      </w:divsChild>
                                    </w:div>
                                    <w:div w:id="139420310">
                                      <w:marLeft w:val="0"/>
                                      <w:marRight w:val="0"/>
                                      <w:marTop w:val="0"/>
                                      <w:marBottom w:val="0"/>
                                      <w:divBdr>
                                        <w:top w:val="none" w:sz="0" w:space="0" w:color="auto"/>
                                        <w:left w:val="none" w:sz="0" w:space="0" w:color="auto"/>
                                        <w:bottom w:val="none" w:sz="0" w:space="0" w:color="auto"/>
                                        <w:right w:val="none" w:sz="0" w:space="0" w:color="auto"/>
                                      </w:divBdr>
                                    </w:div>
                                  </w:divsChild>
                                </w:div>
                                <w:div w:id="480384958">
                                  <w:marLeft w:val="0"/>
                                  <w:marRight w:val="0"/>
                                  <w:marTop w:val="0"/>
                                  <w:marBottom w:val="0"/>
                                  <w:divBdr>
                                    <w:top w:val="none" w:sz="0" w:space="0" w:color="auto"/>
                                    <w:left w:val="none" w:sz="0" w:space="0" w:color="auto"/>
                                    <w:bottom w:val="none" w:sz="0" w:space="0" w:color="auto"/>
                                    <w:right w:val="none" w:sz="0" w:space="0" w:color="auto"/>
                                  </w:divBdr>
                                </w:div>
                              </w:divsChild>
                            </w:div>
                            <w:div w:id="1753626360">
                              <w:marLeft w:val="0"/>
                              <w:marRight w:val="0"/>
                              <w:marTop w:val="0"/>
                              <w:marBottom w:val="0"/>
                              <w:divBdr>
                                <w:top w:val="none" w:sz="0" w:space="0" w:color="auto"/>
                                <w:left w:val="none" w:sz="0" w:space="0" w:color="auto"/>
                                <w:bottom w:val="none" w:sz="0" w:space="0" w:color="auto"/>
                                <w:right w:val="none" w:sz="0" w:space="0" w:color="auto"/>
                              </w:divBdr>
                              <w:divsChild>
                                <w:div w:id="732040775">
                                  <w:marLeft w:val="0"/>
                                  <w:marRight w:val="0"/>
                                  <w:marTop w:val="0"/>
                                  <w:marBottom w:val="0"/>
                                  <w:divBdr>
                                    <w:top w:val="none" w:sz="0" w:space="0" w:color="auto"/>
                                    <w:left w:val="none" w:sz="0" w:space="0" w:color="auto"/>
                                    <w:bottom w:val="none" w:sz="0" w:space="0" w:color="auto"/>
                                    <w:right w:val="none" w:sz="0" w:space="0" w:color="auto"/>
                                  </w:divBdr>
                                </w:div>
                                <w:div w:id="885410590">
                                  <w:marLeft w:val="0"/>
                                  <w:marRight w:val="0"/>
                                  <w:marTop w:val="0"/>
                                  <w:marBottom w:val="0"/>
                                  <w:divBdr>
                                    <w:top w:val="none" w:sz="0" w:space="0" w:color="auto"/>
                                    <w:left w:val="none" w:sz="0" w:space="0" w:color="auto"/>
                                    <w:bottom w:val="none" w:sz="0" w:space="0" w:color="auto"/>
                                    <w:right w:val="none" w:sz="0" w:space="0" w:color="auto"/>
                                  </w:divBdr>
                                </w:div>
                              </w:divsChild>
                            </w:div>
                            <w:div w:id="149448454">
                              <w:marLeft w:val="0"/>
                              <w:marRight w:val="0"/>
                              <w:marTop w:val="0"/>
                              <w:marBottom w:val="0"/>
                              <w:divBdr>
                                <w:top w:val="none" w:sz="0" w:space="0" w:color="auto"/>
                                <w:left w:val="none" w:sz="0" w:space="0" w:color="auto"/>
                                <w:bottom w:val="none" w:sz="0" w:space="0" w:color="auto"/>
                                <w:right w:val="none" w:sz="0" w:space="0" w:color="auto"/>
                              </w:divBdr>
                              <w:divsChild>
                                <w:div w:id="1888176788">
                                  <w:marLeft w:val="0"/>
                                  <w:marRight w:val="0"/>
                                  <w:marTop w:val="0"/>
                                  <w:marBottom w:val="0"/>
                                  <w:divBdr>
                                    <w:top w:val="none" w:sz="0" w:space="0" w:color="auto"/>
                                    <w:left w:val="none" w:sz="0" w:space="0" w:color="auto"/>
                                    <w:bottom w:val="none" w:sz="0" w:space="0" w:color="auto"/>
                                    <w:right w:val="none" w:sz="0" w:space="0" w:color="auto"/>
                                  </w:divBdr>
                                </w:div>
                                <w:div w:id="1816071449">
                                  <w:marLeft w:val="0"/>
                                  <w:marRight w:val="0"/>
                                  <w:marTop w:val="0"/>
                                  <w:marBottom w:val="0"/>
                                  <w:divBdr>
                                    <w:top w:val="none" w:sz="0" w:space="0" w:color="auto"/>
                                    <w:left w:val="none" w:sz="0" w:space="0" w:color="auto"/>
                                    <w:bottom w:val="none" w:sz="0" w:space="0" w:color="auto"/>
                                    <w:right w:val="none" w:sz="0" w:space="0" w:color="auto"/>
                                  </w:divBdr>
                                </w:div>
                              </w:divsChild>
                            </w:div>
                            <w:div w:id="1177771504">
                              <w:marLeft w:val="0"/>
                              <w:marRight w:val="0"/>
                              <w:marTop w:val="0"/>
                              <w:marBottom w:val="0"/>
                              <w:divBdr>
                                <w:top w:val="none" w:sz="0" w:space="0" w:color="auto"/>
                                <w:left w:val="none" w:sz="0" w:space="0" w:color="auto"/>
                                <w:bottom w:val="none" w:sz="0" w:space="0" w:color="auto"/>
                                <w:right w:val="none" w:sz="0" w:space="0" w:color="auto"/>
                              </w:divBdr>
                              <w:divsChild>
                                <w:div w:id="1714577692">
                                  <w:marLeft w:val="0"/>
                                  <w:marRight w:val="0"/>
                                  <w:marTop w:val="0"/>
                                  <w:marBottom w:val="0"/>
                                  <w:divBdr>
                                    <w:top w:val="none" w:sz="0" w:space="0" w:color="auto"/>
                                    <w:left w:val="none" w:sz="0" w:space="0" w:color="auto"/>
                                    <w:bottom w:val="none" w:sz="0" w:space="0" w:color="auto"/>
                                    <w:right w:val="none" w:sz="0" w:space="0" w:color="auto"/>
                                  </w:divBdr>
                                </w:div>
                                <w:div w:id="442379809">
                                  <w:marLeft w:val="0"/>
                                  <w:marRight w:val="0"/>
                                  <w:marTop w:val="0"/>
                                  <w:marBottom w:val="0"/>
                                  <w:divBdr>
                                    <w:top w:val="none" w:sz="0" w:space="0" w:color="auto"/>
                                    <w:left w:val="none" w:sz="0" w:space="0" w:color="auto"/>
                                    <w:bottom w:val="none" w:sz="0" w:space="0" w:color="auto"/>
                                    <w:right w:val="none" w:sz="0" w:space="0" w:color="auto"/>
                                  </w:divBdr>
                                </w:div>
                              </w:divsChild>
                            </w:div>
                            <w:div w:id="1687053399">
                              <w:marLeft w:val="0"/>
                              <w:marRight w:val="0"/>
                              <w:marTop w:val="0"/>
                              <w:marBottom w:val="0"/>
                              <w:divBdr>
                                <w:top w:val="none" w:sz="0" w:space="0" w:color="auto"/>
                                <w:left w:val="none" w:sz="0" w:space="0" w:color="auto"/>
                                <w:bottom w:val="none" w:sz="0" w:space="0" w:color="auto"/>
                                <w:right w:val="none" w:sz="0" w:space="0" w:color="auto"/>
                              </w:divBdr>
                              <w:divsChild>
                                <w:div w:id="110561108">
                                  <w:marLeft w:val="0"/>
                                  <w:marRight w:val="0"/>
                                  <w:marTop w:val="0"/>
                                  <w:marBottom w:val="0"/>
                                  <w:divBdr>
                                    <w:top w:val="none" w:sz="0" w:space="0" w:color="auto"/>
                                    <w:left w:val="none" w:sz="0" w:space="0" w:color="auto"/>
                                    <w:bottom w:val="none" w:sz="0" w:space="0" w:color="auto"/>
                                    <w:right w:val="none" w:sz="0" w:space="0" w:color="auto"/>
                                  </w:divBdr>
                                  <w:divsChild>
                                    <w:div w:id="1452826090">
                                      <w:marLeft w:val="0"/>
                                      <w:marRight w:val="0"/>
                                      <w:marTop w:val="0"/>
                                      <w:marBottom w:val="0"/>
                                      <w:divBdr>
                                        <w:top w:val="none" w:sz="0" w:space="0" w:color="auto"/>
                                        <w:left w:val="none" w:sz="0" w:space="0" w:color="auto"/>
                                        <w:bottom w:val="none" w:sz="0" w:space="0" w:color="auto"/>
                                        <w:right w:val="none" w:sz="0" w:space="0" w:color="auto"/>
                                      </w:divBdr>
                                      <w:divsChild>
                                        <w:div w:id="1615869802">
                                          <w:marLeft w:val="0"/>
                                          <w:marRight w:val="0"/>
                                          <w:marTop w:val="0"/>
                                          <w:marBottom w:val="0"/>
                                          <w:divBdr>
                                            <w:top w:val="none" w:sz="0" w:space="0" w:color="auto"/>
                                            <w:left w:val="none" w:sz="0" w:space="0" w:color="auto"/>
                                            <w:bottom w:val="none" w:sz="0" w:space="0" w:color="auto"/>
                                            <w:right w:val="none" w:sz="0" w:space="0" w:color="auto"/>
                                          </w:divBdr>
                                          <w:divsChild>
                                            <w:div w:id="1760366445">
                                              <w:marLeft w:val="0"/>
                                              <w:marRight w:val="0"/>
                                              <w:marTop w:val="0"/>
                                              <w:marBottom w:val="0"/>
                                              <w:divBdr>
                                                <w:top w:val="none" w:sz="0" w:space="0" w:color="auto"/>
                                                <w:left w:val="none" w:sz="0" w:space="0" w:color="auto"/>
                                                <w:bottom w:val="none" w:sz="0" w:space="0" w:color="auto"/>
                                                <w:right w:val="none" w:sz="0" w:space="0" w:color="auto"/>
                                              </w:divBdr>
                                            </w:div>
                                          </w:divsChild>
                                        </w:div>
                                        <w:div w:id="17104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6712">
                                  <w:marLeft w:val="0"/>
                                  <w:marRight w:val="0"/>
                                  <w:marTop w:val="0"/>
                                  <w:marBottom w:val="0"/>
                                  <w:divBdr>
                                    <w:top w:val="none" w:sz="0" w:space="0" w:color="auto"/>
                                    <w:left w:val="none" w:sz="0" w:space="0" w:color="auto"/>
                                    <w:bottom w:val="none" w:sz="0" w:space="0" w:color="auto"/>
                                    <w:right w:val="none" w:sz="0" w:space="0" w:color="auto"/>
                                  </w:divBdr>
                                </w:div>
                                <w:div w:id="1248929219">
                                  <w:marLeft w:val="0"/>
                                  <w:marRight w:val="0"/>
                                  <w:marTop w:val="0"/>
                                  <w:marBottom w:val="0"/>
                                  <w:divBdr>
                                    <w:top w:val="none" w:sz="0" w:space="0" w:color="auto"/>
                                    <w:left w:val="none" w:sz="0" w:space="0" w:color="auto"/>
                                    <w:bottom w:val="none" w:sz="0" w:space="0" w:color="auto"/>
                                    <w:right w:val="none" w:sz="0" w:space="0" w:color="auto"/>
                                  </w:divBdr>
                                </w:div>
                                <w:div w:id="11112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122571">
      <w:bodyDiv w:val="1"/>
      <w:marLeft w:val="0"/>
      <w:marRight w:val="0"/>
      <w:marTop w:val="0"/>
      <w:marBottom w:val="0"/>
      <w:divBdr>
        <w:top w:val="none" w:sz="0" w:space="0" w:color="auto"/>
        <w:left w:val="none" w:sz="0" w:space="0" w:color="auto"/>
        <w:bottom w:val="none" w:sz="0" w:space="0" w:color="auto"/>
        <w:right w:val="none" w:sz="0" w:space="0" w:color="auto"/>
      </w:divBdr>
    </w:div>
    <w:div w:id="1493108739">
      <w:bodyDiv w:val="1"/>
      <w:marLeft w:val="262"/>
      <w:marRight w:val="0"/>
      <w:marTop w:val="0"/>
      <w:marBottom w:val="0"/>
      <w:divBdr>
        <w:top w:val="none" w:sz="0" w:space="0" w:color="auto"/>
        <w:left w:val="none" w:sz="0" w:space="0" w:color="auto"/>
        <w:bottom w:val="none" w:sz="0" w:space="0" w:color="auto"/>
        <w:right w:val="none" w:sz="0" w:space="0" w:color="auto"/>
      </w:divBdr>
      <w:divsChild>
        <w:div w:id="1340424195">
          <w:marLeft w:val="0"/>
          <w:marRight w:val="0"/>
          <w:marTop w:val="0"/>
          <w:marBottom w:val="0"/>
          <w:divBdr>
            <w:top w:val="none" w:sz="0" w:space="0" w:color="auto"/>
            <w:left w:val="none" w:sz="0" w:space="0" w:color="auto"/>
            <w:bottom w:val="none" w:sz="0" w:space="0" w:color="auto"/>
            <w:right w:val="none" w:sz="0" w:space="0" w:color="auto"/>
          </w:divBdr>
        </w:div>
      </w:divsChild>
    </w:div>
    <w:div w:id="1522623157">
      <w:bodyDiv w:val="1"/>
      <w:marLeft w:val="0"/>
      <w:marRight w:val="0"/>
      <w:marTop w:val="0"/>
      <w:marBottom w:val="0"/>
      <w:divBdr>
        <w:top w:val="none" w:sz="0" w:space="0" w:color="auto"/>
        <w:left w:val="none" w:sz="0" w:space="0" w:color="auto"/>
        <w:bottom w:val="none" w:sz="0" w:space="0" w:color="auto"/>
        <w:right w:val="none" w:sz="0" w:space="0" w:color="auto"/>
      </w:divBdr>
      <w:divsChild>
        <w:div w:id="379019386">
          <w:marLeft w:val="0"/>
          <w:marRight w:val="0"/>
          <w:marTop w:val="0"/>
          <w:marBottom w:val="0"/>
          <w:divBdr>
            <w:top w:val="none" w:sz="0" w:space="0" w:color="auto"/>
            <w:left w:val="none" w:sz="0" w:space="0" w:color="auto"/>
            <w:bottom w:val="none" w:sz="0" w:space="0" w:color="auto"/>
            <w:right w:val="none" w:sz="0" w:space="0" w:color="auto"/>
          </w:divBdr>
          <w:divsChild>
            <w:div w:id="1233353293">
              <w:marLeft w:val="0"/>
              <w:marRight w:val="0"/>
              <w:marTop w:val="0"/>
              <w:marBottom w:val="0"/>
              <w:divBdr>
                <w:top w:val="none" w:sz="0" w:space="0" w:color="auto"/>
                <w:left w:val="none" w:sz="0" w:space="0" w:color="auto"/>
                <w:bottom w:val="none" w:sz="0" w:space="0" w:color="auto"/>
                <w:right w:val="none" w:sz="0" w:space="0" w:color="auto"/>
              </w:divBdr>
              <w:divsChild>
                <w:div w:id="850677871">
                  <w:marLeft w:val="0"/>
                  <w:marRight w:val="0"/>
                  <w:marTop w:val="0"/>
                  <w:marBottom w:val="0"/>
                  <w:divBdr>
                    <w:top w:val="none" w:sz="0" w:space="0" w:color="auto"/>
                    <w:left w:val="none" w:sz="0" w:space="0" w:color="auto"/>
                    <w:bottom w:val="none" w:sz="0" w:space="0" w:color="auto"/>
                    <w:right w:val="none" w:sz="0" w:space="0" w:color="auto"/>
                  </w:divBdr>
                  <w:divsChild>
                    <w:div w:id="1570841577">
                      <w:marLeft w:val="0"/>
                      <w:marRight w:val="0"/>
                      <w:marTop w:val="0"/>
                      <w:marBottom w:val="0"/>
                      <w:divBdr>
                        <w:top w:val="none" w:sz="0" w:space="0" w:color="auto"/>
                        <w:left w:val="none" w:sz="0" w:space="0" w:color="auto"/>
                        <w:bottom w:val="none" w:sz="0" w:space="0" w:color="auto"/>
                        <w:right w:val="none" w:sz="0" w:space="0" w:color="auto"/>
                      </w:divBdr>
                      <w:divsChild>
                        <w:div w:id="1498762191">
                          <w:marLeft w:val="0"/>
                          <w:marRight w:val="0"/>
                          <w:marTop w:val="0"/>
                          <w:marBottom w:val="0"/>
                          <w:divBdr>
                            <w:top w:val="none" w:sz="0" w:space="0" w:color="auto"/>
                            <w:left w:val="none" w:sz="0" w:space="0" w:color="auto"/>
                            <w:bottom w:val="none" w:sz="0" w:space="0" w:color="auto"/>
                            <w:right w:val="none" w:sz="0" w:space="0" w:color="auto"/>
                          </w:divBdr>
                          <w:divsChild>
                            <w:div w:id="1123235499">
                              <w:marLeft w:val="0"/>
                              <w:marRight w:val="0"/>
                              <w:marTop w:val="0"/>
                              <w:marBottom w:val="0"/>
                              <w:divBdr>
                                <w:top w:val="none" w:sz="0" w:space="0" w:color="auto"/>
                                <w:left w:val="none" w:sz="0" w:space="0" w:color="auto"/>
                                <w:bottom w:val="none" w:sz="0" w:space="0" w:color="auto"/>
                                <w:right w:val="none" w:sz="0" w:space="0" w:color="auto"/>
                              </w:divBdr>
                              <w:divsChild>
                                <w:div w:id="5566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838041">
      <w:bodyDiv w:val="1"/>
      <w:marLeft w:val="0"/>
      <w:marRight w:val="0"/>
      <w:marTop w:val="0"/>
      <w:marBottom w:val="0"/>
      <w:divBdr>
        <w:top w:val="none" w:sz="0" w:space="0" w:color="auto"/>
        <w:left w:val="none" w:sz="0" w:space="0" w:color="auto"/>
        <w:bottom w:val="none" w:sz="0" w:space="0" w:color="auto"/>
        <w:right w:val="none" w:sz="0" w:space="0" w:color="auto"/>
      </w:divBdr>
    </w:div>
    <w:div w:id="1668708703">
      <w:bodyDiv w:val="1"/>
      <w:marLeft w:val="0"/>
      <w:marRight w:val="0"/>
      <w:marTop w:val="0"/>
      <w:marBottom w:val="0"/>
      <w:divBdr>
        <w:top w:val="none" w:sz="0" w:space="0" w:color="auto"/>
        <w:left w:val="none" w:sz="0" w:space="0" w:color="auto"/>
        <w:bottom w:val="none" w:sz="0" w:space="0" w:color="auto"/>
        <w:right w:val="none" w:sz="0" w:space="0" w:color="auto"/>
      </w:divBdr>
    </w:div>
    <w:div w:id="1725830317">
      <w:marLeft w:val="0"/>
      <w:marRight w:val="0"/>
      <w:marTop w:val="0"/>
      <w:marBottom w:val="0"/>
      <w:divBdr>
        <w:top w:val="none" w:sz="0" w:space="0" w:color="auto"/>
        <w:left w:val="none" w:sz="0" w:space="0" w:color="auto"/>
        <w:bottom w:val="none" w:sz="0" w:space="0" w:color="auto"/>
        <w:right w:val="none" w:sz="0" w:space="0" w:color="auto"/>
      </w:divBdr>
    </w:div>
    <w:div w:id="1785266853">
      <w:bodyDiv w:val="1"/>
      <w:marLeft w:val="0"/>
      <w:marRight w:val="0"/>
      <w:marTop w:val="0"/>
      <w:marBottom w:val="0"/>
      <w:divBdr>
        <w:top w:val="none" w:sz="0" w:space="0" w:color="auto"/>
        <w:left w:val="none" w:sz="0" w:space="0" w:color="auto"/>
        <w:bottom w:val="none" w:sz="0" w:space="0" w:color="auto"/>
        <w:right w:val="none" w:sz="0" w:space="0" w:color="auto"/>
      </w:divBdr>
      <w:divsChild>
        <w:div w:id="353767214">
          <w:marLeft w:val="0"/>
          <w:marRight w:val="0"/>
          <w:marTop w:val="0"/>
          <w:marBottom w:val="0"/>
          <w:divBdr>
            <w:top w:val="none" w:sz="0" w:space="0" w:color="auto"/>
            <w:left w:val="none" w:sz="0" w:space="0" w:color="auto"/>
            <w:bottom w:val="none" w:sz="0" w:space="0" w:color="auto"/>
            <w:right w:val="none" w:sz="0" w:space="0" w:color="auto"/>
          </w:divBdr>
        </w:div>
        <w:div w:id="1949772108">
          <w:marLeft w:val="0"/>
          <w:marRight w:val="0"/>
          <w:marTop w:val="0"/>
          <w:marBottom w:val="0"/>
          <w:divBdr>
            <w:top w:val="none" w:sz="0" w:space="0" w:color="auto"/>
            <w:left w:val="none" w:sz="0" w:space="0" w:color="auto"/>
            <w:bottom w:val="none" w:sz="0" w:space="0" w:color="auto"/>
            <w:right w:val="none" w:sz="0" w:space="0" w:color="auto"/>
          </w:divBdr>
        </w:div>
      </w:divsChild>
    </w:div>
    <w:div w:id="1846480569">
      <w:bodyDiv w:val="1"/>
      <w:marLeft w:val="0"/>
      <w:marRight w:val="0"/>
      <w:marTop w:val="0"/>
      <w:marBottom w:val="0"/>
      <w:divBdr>
        <w:top w:val="none" w:sz="0" w:space="0" w:color="auto"/>
        <w:left w:val="none" w:sz="0" w:space="0" w:color="auto"/>
        <w:bottom w:val="none" w:sz="0" w:space="0" w:color="auto"/>
        <w:right w:val="none" w:sz="0" w:space="0" w:color="auto"/>
      </w:divBdr>
      <w:divsChild>
        <w:div w:id="83495202">
          <w:marLeft w:val="0"/>
          <w:marRight w:val="0"/>
          <w:marTop w:val="0"/>
          <w:marBottom w:val="0"/>
          <w:divBdr>
            <w:top w:val="none" w:sz="0" w:space="0" w:color="auto"/>
            <w:left w:val="none" w:sz="0" w:space="0" w:color="auto"/>
            <w:bottom w:val="none" w:sz="0" w:space="0" w:color="auto"/>
            <w:right w:val="none" w:sz="0" w:space="0" w:color="auto"/>
          </w:divBdr>
          <w:divsChild>
            <w:div w:id="1499417115">
              <w:marLeft w:val="0"/>
              <w:marRight w:val="0"/>
              <w:marTop w:val="0"/>
              <w:marBottom w:val="0"/>
              <w:divBdr>
                <w:top w:val="none" w:sz="0" w:space="0" w:color="auto"/>
                <w:left w:val="none" w:sz="0" w:space="0" w:color="auto"/>
                <w:bottom w:val="none" w:sz="0" w:space="0" w:color="auto"/>
                <w:right w:val="none" w:sz="0" w:space="0" w:color="auto"/>
              </w:divBdr>
              <w:divsChild>
                <w:div w:id="251011460">
                  <w:marLeft w:val="0"/>
                  <w:marRight w:val="0"/>
                  <w:marTop w:val="0"/>
                  <w:marBottom w:val="0"/>
                  <w:divBdr>
                    <w:top w:val="none" w:sz="0" w:space="0" w:color="auto"/>
                    <w:left w:val="none" w:sz="0" w:space="0" w:color="auto"/>
                    <w:bottom w:val="none" w:sz="0" w:space="0" w:color="auto"/>
                    <w:right w:val="none" w:sz="0" w:space="0" w:color="auto"/>
                  </w:divBdr>
                  <w:divsChild>
                    <w:div w:id="1030839046">
                      <w:marLeft w:val="0"/>
                      <w:marRight w:val="0"/>
                      <w:marTop w:val="0"/>
                      <w:marBottom w:val="0"/>
                      <w:divBdr>
                        <w:top w:val="none" w:sz="0" w:space="0" w:color="auto"/>
                        <w:left w:val="none" w:sz="0" w:space="0" w:color="auto"/>
                        <w:bottom w:val="none" w:sz="0" w:space="0" w:color="auto"/>
                        <w:right w:val="none" w:sz="0" w:space="0" w:color="auto"/>
                      </w:divBdr>
                      <w:divsChild>
                        <w:div w:id="1038820366">
                          <w:marLeft w:val="0"/>
                          <w:marRight w:val="0"/>
                          <w:marTop w:val="0"/>
                          <w:marBottom w:val="375"/>
                          <w:divBdr>
                            <w:top w:val="none" w:sz="0" w:space="0" w:color="auto"/>
                            <w:left w:val="none" w:sz="0" w:space="0" w:color="auto"/>
                            <w:bottom w:val="none" w:sz="0" w:space="0" w:color="auto"/>
                            <w:right w:val="none" w:sz="0" w:space="0" w:color="auto"/>
                          </w:divBdr>
                          <w:divsChild>
                            <w:div w:id="12982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788412">
      <w:bodyDiv w:val="1"/>
      <w:marLeft w:val="0"/>
      <w:marRight w:val="0"/>
      <w:marTop w:val="0"/>
      <w:marBottom w:val="0"/>
      <w:divBdr>
        <w:top w:val="none" w:sz="0" w:space="0" w:color="auto"/>
        <w:left w:val="none" w:sz="0" w:space="0" w:color="auto"/>
        <w:bottom w:val="none" w:sz="0" w:space="0" w:color="auto"/>
        <w:right w:val="none" w:sz="0" w:space="0" w:color="auto"/>
      </w:divBdr>
    </w:div>
    <w:div w:id="2008434621">
      <w:bodyDiv w:val="1"/>
      <w:marLeft w:val="0"/>
      <w:marRight w:val="0"/>
      <w:marTop w:val="0"/>
      <w:marBottom w:val="0"/>
      <w:divBdr>
        <w:top w:val="none" w:sz="0" w:space="0" w:color="auto"/>
        <w:left w:val="none" w:sz="0" w:space="0" w:color="auto"/>
        <w:bottom w:val="none" w:sz="0" w:space="0" w:color="auto"/>
        <w:right w:val="none" w:sz="0" w:space="0" w:color="auto"/>
      </w:divBdr>
      <w:divsChild>
        <w:div w:id="1033044101">
          <w:marLeft w:val="0"/>
          <w:marRight w:val="0"/>
          <w:marTop w:val="0"/>
          <w:marBottom w:val="0"/>
          <w:divBdr>
            <w:top w:val="none" w:sz="0" w:space="0" w:color="auto"/>
            <w:left w:val="none" w:sz="0" w:space="0" w:color="auto"/>
            <w:bottom w:val="none" w:sz="0" w:space="0" w:color="auto"/>
            <w:right w:val="none" w:sz="0" w:space="0" w:color="auto"/>
          </w:divBdr>
          <w:divsChild>
            <w:div w:id="1999385362">
              <w:marLeft w:val="0"/>
              <w:marRight w:val="0"/>
              <w:marTop w:val="0"/>
              <w:marBottom w:val="0"/>
              <w:divBdr>
                <w:top w:val="none" w:sz="0" w:space="0" w:color="auto"/>
                <w:left w:val="none" w:sz="0" w:space="0" w:color="auto"/>
                <w:bottom w:val="none" w:sz="0" w:space="0" w:color="auto"/>
                <w:right w:val="none" w:sz="0" w:space="0" w:color="auto"/>
              </w:divBdr>
              <w:divsChild>
                <w:div w:id="794175610">
                  <w:marLeft w:val="0"/>
                  <w:marRight w:val="0"/>
                  <w:marTop w:val="0"/>
                  <w:marBottom w:val="0"/>
                  <w:divBdr>
                    <w:top w:val="none" w:sz="0" w:space="0" w:color="auto"/>
                    <w:left w:val="none" w:sz="0" w:space="0" w:color="auto"/>
                    <w:bottom w:val="none" w:sz="0" w:space="0" w:color="auto"/>
                    <w:right w:val="none" w:sz="0" w:space="0" w:color="auto"/>
                  </w:divBdr>
                  <w:divsChild>
                    <w:div w:id="352413945">
                      <w:marLeft w:val="0"/>
                      <w:marRight w:val="0"/>
                      <w:marTop w:val="0"/>
                      <w:marBottom w:val="0"/>
                      <w:divBdr>
                        <w:top w:val="none" w:sz="0" w:space="0" w:color="auto"/>
                        <w:left w:val="none" w:sz="0" w:space="0" w:color="auto"/>
                        <w:bottom w:val="none" w:sz="0" w:space="0" w:color="auto"/>
                        <w:right w:val="none" w:sz="0" w:space="0" w:color="auto"/>
                      </w:divBdr>
                      <w:divsChild>
                        <w:div w:id="285160255">
                          <w:marLeft w:val="0"/>
                          <w:marRight w:val="0"/>
                          <w:marTop w:val="0"/>
                          <w:marBottom w:val="0"/>
                          <w:divBdr>
                            <w:top w:val="none" w:sz="0" w:space="0" w:color="auto"/>
                            <w:left w:val="none" w:sz="0" w:space="0" w:color="auto"/>
                            <w:bottom w:val="none" w:sz="0" w:space="0" w:color="auto"/>
                            <w:right w:val="none" w:sz="0" w:space="0" w:color="auto"/>
                          </w:divBdr>
                          <w:divsChild>
                            <w:div w:id="34088583">
                              <w:marLeft w:val="0"/>
                              <w:marRight w:val="0"/>
                              <w:marTop w:val="0"/>
                              <w:marBottom w:val="0"/>
                              <w:divBdr>
                                <w:top w:val="none" w:sz="0" w:space="0" w:color="auto"/>
                                <w:left w:val="none" w:sz="0" w:space="0" w:color="auto"/>
                                <w:bottom w:val="none" w:sz="0" w:space="0" w:color="auto"/>
                                <w:right w:val="none" w:sz="0" w:space="0" w:color="auto"/>
                              </w:divBdr>
                              <w:divsChild>
                                <w:div w:id="641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05371">
      <w:bodyDiv w:val="1"/>
      <w:marLeft w:val="0"/>
      <w:marRight w:val="0"/>
      <w:marTop w:val="0"/>
      <w:marBottom w:val="0"/>
      <w:divBdr>
        <w:top w:val="none" w:sz="0" w:space="0" w:color="auto"/>
        <w:left w:val="none" w:sz="0" w:space="0" w:color="auto"/>
        <w:bottom w:val="none" w:sz="0" w:space="0" w:color="auto"/>
        <w:right w:val="none" w:sz="0" w:space="0" w:color="auto"/>
      </w:divBdr>
      <w:divsChild>
        <w:div w:id="1922256364">
          <w:marLeft w:val="0"/>
          <w:marRight w:val="0"/>
          <w:marTop w:val="0"/>
          <w:marBottom w:val="0"/>
          <w:divBdr>
            <w:top w:val="none" w:sz="0" w:space="0" w:color="auto"/>
            <w:left w:val="none" w:sz="0" w:space="0" w:color="auto"/>
            <w:bottom w:val="none" w:sz="0" w:space="0" w:color="auto"/>
            <w:right w:val="none" w:sz="0" w:space="0" w:color="auto"/>
          </w:divBdr>
          <w:divsChild>
            <w:div w:id="1583756068">
              <w:marLeft w:val="0"/>
              <w:marRight w:val="0"/>
              <w:marTop w:val="0"/>
              <w:marBottom w:val="0"/>
              <w:divBdr>
                <w:top w:val="none" w:sz="0" w:space="0" w:color="auto"/>
                <w:left w:val="none" w:sz="0" w:space="0" w:color="auto"/>
                <w:bottom w:val="none" w:sz="0" w:space="0" w:color="auto"/>
                <w:right w:val="none" w:sz="0" w:space="0" w:color="auto"/>
              </w:divBdr>
              <w:divsChild>
                <w:div w:id="132335900">
                  <w:marLeft w:val="0"/>
                  <w:marRight w:val="0"/>
                  <w:marTop w:val="0"/>
                  <w:marBottom w:val="0"/>
                  <w:divBdr>
                    <w:top w:val="none" w:sz="0" w:space="0" w:color="auto"/>
                    <w:left w:val="none" w:sz="0" w:space="0" w:color="auto"/>
                    <w:bottom w:val="none" w:sz="0" w:space="0" w:color="auto"/>
                    <w:right w:val="none" w:sz="0" w:space="0" w:color="auto"/>
                  </w:divBdr>
                  <w:divsChild>
                    <w:div w:id="13851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topagrar.com/themen/Anbauflaechen-1782352.html" TargetMode="External"/><Relationship Id="rId26" Type="http://schemas.openxmlformats.org/officeDocument/2006/relationships/hyperlink" Target="http://www.agrarticker.de/index.php?id=318&amp;articleid=9757&amp;picnumber=0" TargetMode="External"/><Relationship Id="rId39" Type="http://schemas.openxmlformats.org/officeDocument/2006/relationships/hyperlink" Target="http://www.topagrar.com/themen/Verordnung-1775268.html" TargetMode="External"/><Relationship Id="rId3" Type="http://schemas.openxmlformats.org/officeDocument/2006/relationships/styles" Target="styles.xml"/><Relationship Id="rId21" Type="http://schemas.openxmlformats.org/officeDocument/2006/relationships/hyperlink" Target="http://www.topagrar.com/themen/Weissrussland-1774448.html" TargetMode="External"/><Relationship Id="rId34" Type="http://schemas.openxmlformats.org/officeDocument/2006/relationships/hyperlink" Target="http://www.topagrar.com/themen/Aussaat-1776143.html" TargetMode="External"/><Relationship Id="rId42"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topagrar.com/themen/Anbauflaechen-1782352.html" TargetMode="External"/><Relationship Id="rId25" Type="http://schemas.openxmlformats.org/officeDocument/2006/relationships/image" Target="media/image4.emf"/><Relationship Id="rId33" Type="http://schemas.openxmlformats.org/officeDocument/2006/relationships/hyperlink" Target="http://www.topagrar.com/themen/Aussaat-1776143.html" TargetMode="External"/><Relationship Id="rId38" Type="http://schemas.openxmlformats.org/officeDocument/2006/relationships/hyperlink" Target="http://www.topagrar.com/themen/Verordnung-1775268.html" TargetMode="External"/><Relationship Id="rId2" Type="http://schemas.openxmlformats.org/officeDocument/2006/relationships/numbering" Target="numbering.xml"/><Relationship Id="rId16" Type="http://schemas.openxmlformats.org/officeDocument/2006/relationships/hyperlink" Target="http://www.topagrar.com/themen/Gerstenernte-1781600.html" TargetMode="External"/><Relationship Id="rId20" Type="http://schemas.openxmlformats.org/officeDocument/2006/relationships/hyperlink" Target="http://www.topagrar.com/themen/Raps-1774298.html" TargetMode="External"/><Relationship Id="rId29" Type="http://schemas.openxmlformats.org/officeDocument/2006/relationships/hyperlink" Target="http://www.topagrar.com/themen/Verordnung-1775268.html"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topagrar.com/themen/Rapsernte-1780036.html" TargetMode="External"/><Relationship Id="rId32" Type="http://schemas.openxmlformats.org/officeDocument/2006/relationships/hyperlink" Target="http://www.topagrar.com/themen/Verordnung-1775268.html" TargetMode="External"/><Relationship Id="rId37" Type="http://schemas.openxmlformats.org/officeDocument/2006/relationships/hyperlink" Target="http://www.topagrar.com/themen/Verordnung-1775268.html" TargetMode="External"/><Relationship Id="rId40" Type="http://schemas.openxmlformats.org/officeDocument/2006/relationships/hyperlink" Target="http://www.agrarticker.de/index.php?id=318&amp;articleid=9758&amp;picnumber=0" TargetMode="External"/><Relationship Id="rId5" Type="http://schemas.openxmlformats.org/officeDocument/2006/relationships/settings" Target="settings.xml"/><Relationship Id="rId15" Type="http://schemas.openxmlformats.org/officeDocument/2006/relationships/hyperlink" Target="http://www.bvl.bund.de/DE/06_Gentechnik/04_Fachmeldungen/2016/2016_04_07_Fa_neue_Zuechtungsverfahren.html" TargetMode="External"/><Relationship Id="rId23" Type="http://schemas.openxmlformats.org/officeDocument/2006/relationships/hyperlink" Target="http://www.topagrar.com/themen/Landwirtschaftsminister-1774857.html" TargetMode="External"/><Relationship Id="rId28" Type="http://schemas.openxmlformats.org/officeDocument/2006/relationships/hyperlink" Target="http://www.topagrar.com/themen/Bundeslandwirtschaftsministerium-1774574.html" TargetMode="External"/><Relationship Id="rId36" Type="http://schemas.openxmlformats.org/officeDocument/2006/relationships/hyperlink" Target="http://www.topagrar.com/themen/Verordnung-1775268.html" TargetMode="External"/><Relationship Id="rId10" Type="http://schemas.openxmlformats.org/officeDocument/2006/relationships/header" Target="header2.xml"/><Relationship Id="rId19" Type="http://schemas.openxmlformats.org/officeDocument/2006/relationships/hyperlink" Target="http://www.topagrar.com/themen/Aussaat-1776143.html" TargetMode="External"/><Relationship Id="rId31" Type="http://schemas.openxmlformats.org/officeDocument/2006/relationships/hyperlink" Target="http://www.topagrar.com/themen/Verordnung-1775268.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yperlink" Target="http://www.topagrar.com/themen/Rapsernte-1780036.html" TargetMode="External"/><Relationship Id="rId27" Type="http://schemas.openxmlformats.org/officeDocument/2006/relationships/image" Target="media/image5.jpeg"/><Relationship Id="rId30" Type="http://schemas.openxmlformats.org/officeDocument/2006/relationships/hyperlink" Target="http://www.topagrar.com/themen/Anbau-1775570.html" TargetMode="External"/><Relationship Id="rId35" Type="http://schemas.openxmlformats.org/officeDocument/2006/relationships/hyperlink" Target="http://www.topagrar.com/themen/Pflanzenschutzgesetz-1775923.html" TargetMode="Externa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91AD8-D028-4F68-BE9E-68F19D80B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8011</Words>
  <Characters>50474</Characters>
  <Application>Microsoft Office Word</Application>
  <DocSecurity>0</DocSecurity>
  <Lines>420</Lines>
  <Paragraphs>116</Paragraphs>
  <ScaleCrop>false</ScaleCrop>
  <HeadingPairs>
    <vt:vector size="2" baseType="variant">
      <vt:variant>
        <vt:lpstr>Titel</vt:lpstr>
      </vt:variant>
      <vt:variant>
        <vt:i4>1</vt:i4>
      </vt:variant>
    </vt:vector>
  </HeadingPairs>
  <TitlesOfParts>
    <vt:vector size="1" baseType="lpstr">
      <vt:lpstr>Agroservice &amp;Lohnunternehmerverband Nordost e. V.</vt:lpstr>
    </vt:vector>
  </TitlesOfParts>
  <Company/>
  <LinksUpToDate>false</LinksUpToDate>
  <CharactersWithSpaces>58369</CharactersWithSpaces>
  <SharedDoc>false</SharedDoc>
  <HLinks>
    <vt:vector size="6" baseType="variant">
      <vt:variant>
        <vt:i4>6422551</vt:i4>
      </vt:variant>
      <vt:variant>
        <vt:i4>0</vt:i4>
      </vt:variant>
      <vt:variant>
        <vt:i4>0</vt:i4>
      </vt:variant>
      <vt:variant>
        <vt:i4>5</vt:i4>
      </vt:variant>
      <vt:variant>
        <vt:lpwstr>mailto:info@agro-service-bb-sa.de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Agroservice &amp;Lohnunternehmerverband Nordost e. V.</dc:title>
  <dc:creator>Melchert</dc:creator>
  <cp:lastModifiedBy>Melchert</cp:lastModifiedBy>
  <cp:revision>6</cp:revision>
  <cp:lastPrinted>2016-04-20T11:18:00Z</cp:lastPrinted>
  <dcterms:created xsi:type="dcterms:W3CDTF">2016-04-20T07:17:00Z</dcterms:created>
  <dcterms:modified xsi:type="dcterms:W3CDTF">2016-04-20T11:18:00Z</dcterms:modified>
</cp:coreProperties>
</file>